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EF5DFB" w14:textId="0250FD64" w:rsidR="00D82242" w:rsidRPr="00AF00E2" w:rsidRDefault="00AF00E2" w:rsidP="00970EB4">
      <w:pPr>
        <w:pStyle w:val="Texte"/>
        <w:spacing w:line="500" w:lineRule="exact"/>
        <w:jc w:val="both"/>
        <w:rPr>
          <w:rFonts w:ascii="Cooper Black" w:hAnsi="Cooper Black"/>
          <w:b/>
          <w:sz w:val="28"/>
          <w:szCs w:val="28"/>
          <w:lang w:val="fr-CH"/>
        </w:rPr>
      </w:pPr>
      <w:r>
        <w:rPr>
          <w:rFonts w:ascii="Cooper Black" w:hAnsi="Cooper Black"/>
          <w:b/>
          <w:sz w:val="28"/>
          <w:szCs w:val="28"/>
          <w:lang w:val="fr-CH"/>
        </w:rPr>
        <w:t>Ascension</w:t>
      </w:r>
    </w:p>
    <w:p w14:paraId="700714E1" w14:textId="77777777" w:rsidR="00AF00E2" w:rsidRDefault="00AF00E2" w:rsidP="00AF00E2">
      <w:pPr>
        <w:pStyle w:val="Texte"/>
        <w:jc w:val="both"/>
        <w:rPr>
          <w:rFonts w:ascii="Verdana" w:hAnsi="Verdana"/>
          <w:szCs w:val="24"/>
          <w:lang w:val="fr-CH"/>
        </w:rPr>
      </w:pPr>
    </w:p>
    <w:p w14:paraId="49608E03" w14:textId="45FC02E0" w:rsidR="00AF00E2" w:rsidRPr="00A55599" w:rsidRDefault="00AF00E2" w:rsidP="00AF00E2">
      <w:pPr>
        <w:pStyle w:val="Texte"/>
        <w:jc w:val="both"/>
        <w:rPr>
          <w:rFonts w:ascii="Verdana" w:hAnsi="Verdana"/>
          <w:szCs w:val="24"/>
          <w:lang w:val="fr-CH"/>
        </w:rPr>
      </w:pPr>
      <w:r>
        <w:rPr>
          <w:rFonts w:ascii="Verdana" w:hAnsi="Verdana"/>
          <w:szCs w:val="24"/>
          <w:lang w:val="fr-CH"/>
        </w:rPr>
        <w:t xml:space="preserve">10° </w:t>
      </w:r>
      <w:r w:rsidRPr="00A55599">
        <w:rPr>
          <w:rFonts w:ascii="Verdana" w:hAnsi="Verdana"/>
          <w:szCs w:val="24"/>
          <w:lang w:val="fr-CH"/>
        </w:rPr>
        <w:t>L’ASCENSION DU SEIGNEUR</w:t>
      </w:r>
    </w:p>
    <w:p w14:paraId="1834EEC5" w14:textId="77777777" w:rsidR="00AF00E2" w:rsidRPr="00A55599" w:rsidRDefault="00AF00E2" w:rsidP="00AF00E2">
      <w:pPr>
        <w:pStyle w:val="Texte"/>
        <w:jc w:val="both"/>
        <w:rPr>
          <w:rFonts w:ascii="Verdana" w:hAnsi="Verdana"/>
          <w:szCs w:val="24"/>
          <w:lang w:val="fr-CH"/>
        </w:rPr>
      </w:pPr>
      <w:r w:rsidRPr="00A55599">
        <w:rPr>
          <w:rFonts w:ascii="Verdana" w:hAnsi="Verdana"/>
          <w:noProof/>
          <w:szCs w:val="24"/>
          <w:lang w:val="fr-CH"/>
        </w:rPr>
        <w:drawing>
          <wp:inline distT="0" distB="0" distL="0" distR="0" wp14:anchorId="67EBCA77" wp14:editId="5BC31A49">
            <wp:extent cx="2190824" cy="2806700"/>
            <wp:effectExtent l="0" t="0" r="0" b="0"/>
            <wp:docPr id="1841833901" name="Image 7" descr="Une image contenant peinture, art, habits, personne&#10;&#10;Description générée automatiquemen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833901" name="Image 7" descr="Une image contenant peinture, art, habits, personne&#10;&#10;Description générée automatiquement">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90824" cy="2806700"/>
                    </a:xfrm>
                    <a:prstGeom prst="rect">
                      <a:avLst/>
                    </a:prstGeom>
                    <a:noFill/>
                    <a:ln>
                      <a:noFill/>
                    </a:ln>
                  </pic:spPr>
                </pic:pic>
              </a:graphicData>
            </a:graphic>
          </wp:inline>
        </w:drawing>
      </w:r>
    </w:p>
    <w:p w14:paraId="41B8C1B3" w14:textId="77777777" w:rsidR="00AF00E2" w:rsidRPr="00A55599" w:rsidRDefault="00AF00E2" w:rsidP="00AF00E2">
      <w:pPr>
        <w:pStyle w:val="Texte"/>
        <w:jc w:val="both"/>
        <w:rPr>
          <w:rFonts w:ascii="Verdana" w:hAnsi="Verdana"/>
          <w:szCs w:val="24"/>
          <w:lang w:val="fr-CH"/>
        </w:rPr>
      </w:pPr>
      <w:r w:rsidRPr="00A55599">
        <w:rPr>
          <w:rFonts w:ascii="Verdana" w:hAnsi="Verdana"/>
          <w:szCs w:val="24"/>
          <w:lang w:val="fr-CH"/>
        </w:rPr>
        <w:t>L’Ascension du Seigneur est célébrée le 40e jour après Pâques, en l’honneur de l’ascension de la chair de Jésus-Christ au ciel et de la promesse de sa seconde venue.</w:t>
      </w:r>
    </w:p>
    <w:p w14:paraId="59817315" w14:textId="77777777" w:rsidR="00647168" w:rsidRPr="00AF00E2" w:rsidRDefault="00647168" w:rsidP="00D82242">
      <w:pPr>
        <w:pStyle w:val="Texte"/>
        <w:jc w:val="both"/>
        <w:rPr>
          <w:rFonts w:ascii="Verdana" w:hAnsi="Verdana"/>
          <w:szCs w:val="24"/>
          <w:lang w:val="fr-CH"/>
        </w:rPr>
      </w:pPr>
    </w:p>
    <w:p w14:paraId="032B3F7E" w14:textId="77777777" w:rsidR="00AF00E2" w:rsidRPr="00AF00E2" w:rsidRDefault="00AF00E2" w:rsidP="00AF00E2">
      <w:pPr>
        <w:pStyle w:val="Texte"/>
        <w:jc w:val="both"/>
        <w:rPr>
          <w:rFonts w:ascii="Verdana" w:hAnsi="Verdana"/>
          <w:szCs w:val="24"/>
        </w:rPr>
      </w:pPr>
      <w:r w:rsidRPr="00AF00E2">
        <w:rPr>
          <w:rFonts w:ascii="Verdana" w:hAnsi="Verdana"/>
          <w:szCs w:val="24"/>
        </w:rPr>
        <w:t xml:space="preserve">Les Évangiles et les Actes des Apôtres résument l’événement de l’Ascension en bien peu de mots. </w:t>
      </w:r>
    </w:p>
    <w:p w14:paraId="2D2F8716" w14:textId="77777777" w:rsidR="00AF00E2" w:rsidRPr="00AF00E2" w:rsidRDefault="00AF00E2" w:rsidP="00AF00E2">
      <w:pPr>
        <w:pStyle w:val="Texte"/>
        <w:jc w:val="both"/>
        <w:rPr>
          <w:rFonts w:ascii="Verdana" w:hAnsi="Verdana"/>
          <w:szCs w:val="24"/>
        </w:rPr>
      </w:pPr>
      <w:r w:rsidRPr="00AF00E2">
        <w:rPr>
          <w:rFonts w:ascii="Verdana" w:hAnsi="Verdana"/>
          <w:szCs w:val="24"/>
        </w:rPr>
        <w:pict w14:anchorId="3924E3A7">
          <v:rect id="_x0000_i1025" style="width:376.25pt;height:1.5pt" o:hrpct="800" o:hralign="center" o:hrstd="t" o:hr="t" fillcolor="#a0a0a0" stroked="f"/>
        </w:pict>
      </w:r>
    </w:p>
    <w:p w14:paraId="135E2752" w14:textId="3CCFC545" w:rsidR="00AF00E2" w:rsidRPr="00AF00E2" w:rsidRDefault="00AF00E2" w:rsidP="00AF00E2">
      <w:pPr>
        <w:pStyle w:val="Texte"/>
        <w:jc w:val="both"/>
        <w:rPr>
          <w:rFonts w:ascii="Verdana" w:hAnsi="Verdana"/>
          <w:szCs w:val="24"/>
        </w:rPr>
      </w:pPr>
      <w:r w:rsidRPr="00AF00E2">
        <w:rPr>
          <w:rFonts w:ascii="Verdana" w:hAnsi="Verdana"/>
          <w:szCs w:val="24"/>
        </w:rPr>
        <w:t xml:space="preserve">Le récit de </w:t>
      </w:r>
      <w:r w:rsidRPr="00AF00E2">
        <w:rPr>
          <w:rFonts w:ascii="Verdana" w:hAnsi="Verdana"/>
          <w:b/>
          <w:bCs/>
          <w:szCs w:val="24"/>
        </w:rPr>
        <w:t>Marc</w:t>
      </w:r>
      <w:r w:rsidRPr="00AF00E2">
        <w:rPr>
          <w:rFonts w:ascii="Verdana" w:hAnsi="Verdana"/>
          <w:szCs w:val="24"/>
        </w:rPr>
        <w:t xml:space="preserve"> se tient en un seul verset</w:t>
      </w:r>
      <w:r>
        <w:rPr>
          <w:rFonts w:ascii="Verdana" w:hAnsi="Verdana"/>
          <w:szCs w:val="24"/>
        </w:rPr>
        <w:t xml:space="preserve"> </w:t>
      </w:r>
      <w:r w:rsidRPr="00AF00E2">
        <w:rPr>
          <w:rFonts w:ascii="Verdana" w:hAnsi="Verdana"/>
          <w:szCs w:val="24"/>
        </w:rPr>
        <w:t xml:space="preserve">: </w:t>
      </w:r>
      <w:r w:rsidRPr="00AF00E2">
        <w:rPr>
          <w:rFonts w:ascii="Verdana" w:hAnsi="Verdana"/>
          <w:i/>
          <w:iCs/>
          <w:szCs w:val="24"/>
        </w:rPr>
        <w:t>Or le Seigneur Jésus, après leur avoir parlé, fut enlevé au ciel, et il s’assit à la droite de Dieu</w:t>
      </w:r>
      <w:r w:rsidRPr="00AF00E2">
        <w:rPr>
          <w:rFonts w:ascii="Verdana" w:hAnsi="Verdana"/>
          <w:szCs w:val="24"/>
        </w:rPr>
        <w:t xml:space="preserve"> (Mc 16,19). </w:t>
      </w:r>
    </w:p>
    <w:p w14:paraId="1E17347B" w14:textId="77777777" w:rsidR="00AF00E2" w:rsidRPr="00AF00E2" w:rsidRDefault="00AF00E2" w:rsidP="00AF00E2">
      <w:pPr>
        <w:pStyle w:val="Texte"/>
        <w:jc w:val="both"/>
        <w:rPr>
          <w:rFonts w:ascii="Verdana" w:hAnsi="Verdana"/>
          <w:szCs w:val="24"/>
        </w:rPr>
      </w:pPr>
      <w:r w:rsidRPr="00AF00E2">
        <w:rPr>
          <w:rFonts w:ascii="Verdana" w:hAnsi="Verdana"/>
          <w:szCs w:val="24"/>
        </w:rPr>
        <w:pict w14:anchorId="573E52DC">
          <v:rect id="_x0000_i1026" style="width:376.25pt;height:1.5pt" o:hrpct="800" o:hralign="center" o:hrstd="t" o:hr="t" fillcolor="#a0a0a0" stroked="f"/>
        </w:pict>
      </w:r>
    </w:p>
    <w:p w14:paraId="7B45154B" w14:textId="09CFCA9A" w:rsidR="00AF00E2" w:rsidRPr="00AF00E2" w:rsidRDefault="00AF00E2" w:rsidP="00AF00E2">
      <w:pPr>
        <w:pStyle w:val="Texte"/>
        <w:jc w:val="both"/>
        <w:rPr>
          <w:rFonts w:ascii="Verdana" w:hAnsi="Verdana"/>
          <w:szCs w:val="24"/>
        </w:rPr>
      </w:pPr>
      <w:r w:rsidRPr="00AF00E2">
        <w:rPr>
          <w:rFonts w:ascii="Verdana" w:hAnsi="Verdana"/>
          <w:szCs w:val="24"/>
        </w:rPr>
        <w:t xml:space="preserve">Et celui de </w:t>
      </w:r>
      <w:r w:rsidRPr="00AF00E2">
        <w:rPr>
          <w:rFonts w:ascii="Verdana" w:hAnsi="Verdana"/>
          <w:b/>
          <w:bCs/>
          <w:szCs w:val="24"/>
        </w:rPr>
        <w:t>Luc</w:t>
      </w:r>
      <w:r w:rsidRPr="00AF00E2">
        <w:rPr>
          <w:rFonts w:ascii="Verdana" w:hAnsi="Verdana"/>
          <w:szCs w:val="24"/>
        </w:rPr>
        <w:t xml:space="preserve"> en deux versets</w:t>
      </w:r>
      <w:r>
        <w:rPr>
          <w:rFonts w:ascii="Verdana" w:hAnsi="Verdana"/>
          <w:szCs w:val="24"/>
        </w:rPr>
        <w:t xml:space="preserve"> </w:t>
      </w:r>
      <w:r w:rsidRPr="00AF00E2">
        <w:rPr>
          <w:rFonts w:ascii="Verdana" w:hAnsi="Verdana"/>
          <w:szCs w:val="24"/>
        </w:rPr>
        <w:t xml:space="preserve">: </w:t>
      </w:r>
      <w:r w:rsidRPr="00AF00E2">
        <w:rPr>
          <w:rFonts w:ascii="Verdana" w:hAnsi="Verdana"/>
          <w:i/>
          <w:iCs/>
          <w:szCs w:val="24"/>
        </w:rPr>
        <w:t>Puis il les emmena jusque vers Béthanie et, levant les mains, il les bénit. Et il advint, comme il les bénissait, qu’il se sépara d’eux et fut emporté au ciel</w:t>
      </w:r>
      <w:r w:rsidRPr="00AF00E2">
        <w:rPr>
          <w:rFonts w:ascii="Verdana" w:hAnsi="Verdana"/>
          <w:szCs w:val="24"/>
        </w:rPr>
        <w:t xml:space="preserve"> (</w:t>
      </w:r>
      <w:proofErr w:type="spellStart"/>
      <w:r w:rsidRPr="00AF00E2">
        <w:rPr>
          <w:rFonts w:ascii="Verdana" w:hAnsi="Verdana"/>
          <w:szCs w:val="24"/>
        </w:rPr>
        <w:t>Lc</w:t>
      </w:r>
      <w:proofErr w:type="spellEnd"/>
      <w:r w:rsidRPr="00AF00E2">
        <w:rPr>
          <w:rFonts w:ascii="Verdana" w:hAnsi="Verdana"/>
          <w:szCs w:val="24"/>
        </w:rPr>
        <w:t xml:space="preserve"> 24,50-51). </w:t>
      </w:r>
    </w:p>
    <w:p w14:paraId="244ECA72" w14:textId="77777777" w:rsidR="00AF00E2" w:rsidRPr="00AF00E2" w:rsidRDefault="00AF00E2" w:rsidP="00AF00E2">
      <w:pPr>
        <w:pStyle w:val="Texte"/>
        <w:jc w:val="both"/>
        <w:rPr>
          <w:rFonts w:ascii="Verdana" w:hAnsi="Verdana"/>
          <w:szCs w:val="24"/>
        </w:rPr>
      </w:pPr>
      <w:r w:rsidRPr="00AF00E2">
        <w:rPr>
          <w:rFonts w:ascii="Verdana" w:hAnsi="Verdana"/>
          <w:szCs w:val="24"/>
        </w:rPr>
        <w:t>Ces récits ne s’arrêtent pas tant sur la montée de Jésus au ciel que sur le dernier enseignement donné aux disciples et élaboré dans les versets précédents.</w:t>
      </w:r>
    </w:p>
    <w:p w14:paraId="7DB935FA" w14:textId="77777777" w:rsidR="00AF00E2" w:rsidRPr="00AF00E2" w:rsidRDefault="00AF00E2" w:rsidP="00AF00E2">
      <w:pPr>
        <w:pStyle w:val="Texte"/>
        <w:jc w:val="both"/>
        <w:rPr>
          <w:rFonts w:ascii="Verdana" w:hAnsi="Verdana"/>
          <w:szCs w:val="24"/>
        </w:rPr>
      </w:pPr>
      <w:r w:rsidRPr="00AF00E2">
        <w:rPr>
          <w:rFonts w:ascii="Verdana" w:hAnsi="Verdana"/>
          <w:szCs w:val="24"/>
        </w:rPr>
        <w:t xml:space="preserve">Dans l’Évangile de Marc, Jésus envoie en mission les onze apôtres : </w:t>
      </w:r>
      <w:r w:rsidRPr="00AF00E2">
        <w:rPr>
          <w:rFonts w:ascii="Verdana" w:hAnsi="Verdana"/>
          <w:i/>
          <w:iCs/>
          <w:szCs w:val="24"/>
        </w:rPr>
        <w:t>Allez dans le monde entier, proclamez l’Évangile à toute la création</w:t>
      </w:r>
      <w:r w:rsidRPr="00AF00E2">
        <w:rPr>
          <w:rFonts w:ascii="Verdana" w:hAnsi="Verdana"/>
          <w:szCs w:val="24"/>
        </w:rPr>
        <w:t xml:space="preserve"> (Mc 16,14-18). Tandis que dans l’Évangile de Luc, il leur demande de demeurer à Jérusalem afin de recevoir l’Esprit Saint, promesse du Père (</w:t>
      </w:r>
      <w:proofErr w:type="spellStart"/>
      <w:r w:rsidRPr="00AF00E2">
        <w:rPr>
          <w:rFonts w:ascii="Verdana" w:hAnsi="Verdana"/>
          <w:szCs w:val="24"/>
        </w:rPr>
        <w:t>Lc</w:t>
      </w:r>
      <w:proofErr w:type="spellEnd"/>
      <w:r w:rsidRPr="00AF00E2">
        <w:rPr>
          <w:rFonts w:ascii="Verdana" w:hAnsi="Verdana"/>
          <w:szCs w:val="24"/>
        </w:rPr>
        <w:t xml:space="preserve"> 24,44-49). Les deux récits situent l’Ascension à l’intérieur de la dernière apparition de Jésus aux disciples. Et saint Luc ouvre le livre des Actes des Apôtres en reprenant le contexte de l’Ascension, cette fois un peu plus élaboré (</w:t>
      </w:r>
      <w:proofErr w:type="spellStart"/>
      <w:r w:rsidRPr="00AF00E2">
        <w:rPr>
          <w:rFonts w:ascii="Verdana" w:hAnsi="Verdana"/>
          <w:szCs w:val="24"/>
        </w:rPr>
        <w:t>Ac</w:t>
      </w:r>
      <w:proofErr w:type="spellEnd"/>
      <w:r w:rsidRPr="00AF00E2">
        <w:rPr>
          <w:rFonts w:ascii="Verdana" w:hAnsi="Verdana"/>
          <w:szCs w:val="24"/>
        </w:rPr>
        <w:t xml:space="preserve"> 1,1-11).</w:t>
      </w:r>
    </w:p>
    <w:p w14:paraId="181C0F5A" w14:textId="77777777" w:rsidR="00AF00E2" w:rsidRDefault="00AF00E2" w:rsidP="00AF00E2">
      <w:pPr>
        <w:pStyle w:val="Texte"/>
        <w:jc w:val="both"/>
        <w:rPr>
          <w:rFonts w:ascii="Verdana" w:hAnsi="Verdana"/>
          <w:b/>
          <w:bCs/>
          <w:szCs w:val="24"/>
        </w:rPr>
      </w:pPr>
    </w:p>
    <w:p w14:paraId="4558AB5C" w14:textId="039C23F5" w:rsidR="00AF00E2" w:rsidRPr="00AF00E2" w:rsidRDefault="00AF00E2" w:rsidP="00AF00E2">
      <w:pPr>
        <w:pStyle w:val="Texte"/>
        <w:jc w:val="both"/>
        <w:rPr>
          <w:rFonts w:ascii="Verdana" w:hAnsi="Verdana"/>
          <w:b/>
          <w:bCs/>
          <w:szCs w:val="24"/>
        </w:rPr>
      </w:pPr>
      <w:r w:rsidRPr="00AF00E2">
        <w:rPr>
          <w:rFonts w:ascii="Verdana" w:hAnsi="Verdana"/>
          <w:b/>
          <w:bCs/>
          <w:szCs w:val="24"/>
        </w:rPr>
        <w:t>Signification de l’icône</w:t>
      </w:r>
    </w:p>
    <w:p w14:paraId="75B2C5DB" w14:textId="77777777" w:rsidR="00AF00E2" w:rsidRPr="00AF00E2" w:rsidRDefault="00AF00E2" w:rsidP="00AF00E2">
      <w:pPr>
        <w:pStyle w:val="Texte"/>
        <w:jc w:val="both"/>
        <w:rPr>
          <w:rFonts w:ascii="Verdana" w:hAnsi="Verdana"/>
          <w:szCs w:val="24"/>
        </w:rPr>
      </w:pPr>
      <w:r w:rsidRPr="00AF00E2">
        <w:rPr>
          <w:rFonts w:ascii="Verdana" w:hAnsi="Verdana"/>
          <w:szCs w:val="24"/>
        </w:rPr>
        <w:t xml:space="preserve">L’icône de l’Ascension, comme dans les Écritures, est discrète sur l’événement. Elle insiste plutôt sur sa signification. Le terme d’ascension suscite souvent l’image de la séparation, de l’éloignement, du départ définitif du Christ. L’icône nous permet de découvrir une signification beaucoup plus profonde. Elle ne représente pas Jésus s’élevant au-dessus de ses disciples, mais elle met l’accent </w:t>
      </w:r>
      <w:r w:rsidRPr="00AF00E2">
        <w:rPr>
          <w:rFonts w:ascii="Verdana" w:hAnsi="Verdana"/>
          <w:szCs w:val="24"/>
        </w:rPr>
        <w:lastRenderedPageBreak/>
        <w:t xml:space="preserve">sur sa position dans le cercle divin. En observant bien l’icône, nous voyons qu’elle présente une superposition de deux </w:t>
      </w:r>
      <w:proofErr w:type="gramStart"/>
      <w:r w:rsidRPr="00AF00E2">
        <w:rPr>
          <w:rFonts w:ascii="Verdana" w:hAnsi="Verdana"/>
          <w:szCs w:val="24"/>
        </w:rPr>
        <w:t>réalités:</w:t>
      </w:r>
      <w:proofErr w:type="gramEnd"/>
      <w:r w:rsidRPr="00AF00E2">
        <w:rPr>
          <w:rFonts w:ascii="Verdana" w:hAnsi="Verdana"/>
          <w:szCs w:val="24"/>
        </w:rPr>
        <w:t xml:space="preserve"> dans le haut, le Christ trône dans un cercle porté par deux anges; dans le bas, la foule des disciples entourent la Vierge Marie.</w:t>
      </w:r>
    </w:p>
    <w:p w14:paraId="665D4FCD" w14:textId="77777777" w:rsidR="00AF00E2" w:rsidRPr="00AF00E2" w:rsidRDefault="00AF00E2" w:rsidP="00AF00E2">
      <w:pPr>
        <w:pStyle w:val="Texte"/>
        <w:jc w:val="both"/>
        <w:rPr>
          <w:rFonts w:ascii="Verdana" w:hAnsi="Verdana"/>
          <w:szCs w:val="24"/>
        </w:rPr>
      </w:pPr>
      <w:r w:rsidRPr="00AF00E2">
        <w:rPr>
          <w:rFonts w:ascii="Verdana" w:hAnsi="Verdana"/>
          <w:szCs w:val="24"/>
        </w:rPr>
        <w:pict w14:anchorId="0CFDAFEC">
          <v:rect id="_x0000_i1027" style="width:376.25pt;height:1.5pt" o:hrpct="800" o:hralign="center" o:hrstd="t" o:hr="t" fillcolor="#a0a0a0" stroked="f"/>
        </w:pict>
      </w:r>
    </w:p>
    <w:p w14:paraId="24CB6562" w14:textId="77777777" w:rsidR="00AF00E2" w:rsidRPr="00AF00E2" w:rsidRDefault="00AF00E2" w:rsidP="00AF00E2">
      <w:pPr>
        <w:pStyle w:val="Texte"/>
        <w:jc w:val="both"/>
        <w:rPr>
          <w:rFonts w:ascii="Verdana" w:hAnsi="Verdana"/>
          <w:b/>
          <w:bCs/>
          <w:szCs w:val="24"/>
        </w:rPr>
      </w:pPr>
      <w:r w:rsidRPr="00AF00E2">
        <w:rPr>
          <w:rFonts w:ascii="Verdana" w:hAnsi="Verdana"/>
          <w:b/>
          <w:bCs/>
          <w:szCs w:val="24"/>
        </w:rPr>
        <w:t>PARTIE SUPÉRIEURE DE L’ICÔNE</w:t>
      </w:r>
    </w:p>
    <w:p w14:paraId="29FD2862" w14:textId="77777777" w:rsidR="00AF00E2" w:rsidRPr="00AF00E2" w:rsidRDefault="00AF00E2" w:rsidP="00AF00E2">
      <w:pPr>
        <w:pStyle w:val="Texte"/>
        <w:jc w:val="both"/>
        <w:rPr>
          <w:rFonts w:ascii="Verdana" w:hAnsi="Verdana"/>
          <w:b/>
          <w:bCs/>
          <w:szCs w:val="24"/>
        </w:rPr>
      </w:pPr>
      <w:r w:rsidRPr="00AF00E2">
        <w:rPr>
          <w:rFonts w:ascii="Verdana" w:hAnsi="Verdana"/>
          <w:b/>
          <w:bCs/>
          <w:szCs w:val="24"/>
        </w:rPr>
        <w:t>Le Christ dans la gloire</w:t>
      </w:r>
    </w:p>
    <w:p w14:paraId="700311E3" w14:textId="77777777" w:rsidR="00AF00E2" w:rsidRPr="00AF00E2" w:rsidRDefault="00AF00E2" w:rsidP="00AF00E2">
      <w:pPr>
        <w:pStyle w:val="Texte"/>
        <w:jc w:val="both"/>
        <w:rPr>
          <w:rFonts w:ascii="Verdana" w:hAnsi="Verdana"/>
          <w:szCs w:val="24"/>
        </w:rPr>
      </w:pPr>
      <w:r w:rsidRPr="00AF00E2">
        <w:rPr>
          <w:rFonts w:ascii="Verdana" w:hAnsi="Verdana"/>
          <w:szCs w:val="24"/>
        </w:rPr>
        <w:t xml:space="preserve">Dans la partie supérieure de l’icône, au centre du ciel, on aperçoit le Christ trônant dans la gloire. Il siège dans trois cercles concentriques, les sphères cosmiques appelées « mandorle ». Symboliquement, le Sauveur est ainsi situé hors du temps, dans l’éternité divine. Le Christ étend la main droite en un geste de proclamation et il tient de la main gauche le rouleau des Écritures. Ces gestes indiquent que sa fonction se poursuit dans </w:t>
      </w:r>
      <w:proofErr w:type="gramStart"/>
      <w:r w:rsidRPr="00AF00E2">
        <w:rPr>
          <w:rFonts w:ascii="Verdana" w:hAnsi="Verdana"/>
          <w:szCs w:val="24"/>
        </w:rPr>
        <w:t>l’éternité:</w:t>
      </w:r>
      <w:proofErr w:type="gramEnd"/>
      <w:r w:rsidRPr="00AF00E2">
        <w:rPr>
          <w:rFonts w:ascii="Verdana" w:hAnsi="Verdana"/>
          <w:szCs w:val="24"/>
        </w:rPr>
        <w:t xml:space="preserve"> il demeure celui qui révèle les desseins du Père et qui accomplit les Écritures. Son vêtement lumineux exprime son état de ressuscité.</w:t>
      </w:r>
    </w:p>
    <w:p w14:paraId="40D22CF2" w14:textId="77777777" w:rsidR="00AF00E2" w:rsidRPr="00AF00E2" w:rsidRDefault="00AF00E2" w:rsidP="00AF00E2">
      <w:pPr>
        <w:pStyle w:val="Texte"/>
        <w:jc w:val="both"/>
        <w:rPr>
          <w:rFonts w:ascii="Verdana" w:hAnsi="Verdana"/>
          <w:b/>
          <w:bCs/>
          <w:szCs w:val="24"/>
        </w:rPr>
      </w:pPr>
      <w:r w:rsidRPr="00AF00E2">
        <w:rPr>
          <w:rFonts w:ascii="Verdana" w:hAnsi="Verdana"/>
          <w:b/>
          <w:bCs/>
          <w:szCs w:val="24"/>
        </w:rPr>
        <w:t>Les anges</w:t>
      </w:r>
    </w:p>
    <w:p w14:paraId="5A1326F0" w14:textId="77777777" w:rsidR="00AF00E2" w:rsidRPr="00AF00E2" w:rsidRDefault="00AF00E2" w:rsidP="00AF00E2">
      <w:pPr>
        <w:pStyle w:val="Texte"/>
        <w:jc w:val="both"/>
        <w:rPr>
          <w:rFonts w:ascii="Verdana" w:hAnsi="Verdana"/>
          <w:szCs w:val="24"/>
        </w:rPr>
      </w:pPr>
      <w:r w:rsidRPr="00AF00E2">
        <w:rPr>
          <w:rFonts w:ascii="Verdana" w:hAnsi="Verdana"/>
          <w:szCs w:val="24"/>
        </w:rPr>
        <w:t>Le cercle céleste est soutenu par des anges portant des vêtements de couleur. Ce sont les témoins de l’Incarnation, les mêmes anges que l’on trouve dans l’icône de la Nativité. Ce sont aussi les témoins de la Passion, ceux que l’on trouve entourant la Croix dans l’icône de la Crucifixion. La présence de ces anges, témoins de la vie terrestre du Fils de Dieu, indique que si le Christ monte au ciel avec son corps glorieux, ce corps porte toujours les marques de la crucifixion. Jésus, par son Ascension, ne devient pas un étranger pour nous. Il garde son humanité, il l’amène auprès du Père.</w:t>
      </w:r>
    </w:p>
    <w:p w14:paraId="2BC9BC06" w14:textId="77777777" w:rsidR="00AF00E2" w:rsidRPr="00AF00E2" w:rsidRDefault="00AF00E2" w:rsidP="00AF00E2">
      <w:pPr>
        <w:pStyle w:val="Texte"/>
        <w:jc w:val="both"/>
        <w:rPr>
          <w:rFonts w:ascii="Verdana" w:hAnsi="Verdana"/>
          <w:szCs w:val="24"/>
        </w:rPr>
      </w:pPr>
      <w:r w:rsidRPr="00AF00E2">
        <w:rPr>
          <w:rFonts w:ascii="Verdana" w:hAnsi="Verdana"/>
          <w:szCs w:val="24"/>
        </w:rPr>
        <w:pict w14:anchorId="7B5296B8">
          <v:rect id="_x0000_i1028" style="width:376.25pt;height:1.5pt" o:hrpct="800" o:hralign="center" o:hrstd="t" o:hr="t" fillcolor="#a0a0a0" stroked="f"/>
        </w:pict>
      </w:r>
    </w:p>
    <w:p w14:paraId="753F0F2A" w14:textId="77777777" w:rsidR="00AF00E2" w:rsidRPr="00AF00E2" w:rsidRDefault="00AF00E2" w:rsidP="00AF00E2">
      <w:pPr>
        <w:pStyle w:val="Texte"/>
        <w:jc w:val="both"/>
        <w:rPr>
          <w:rFonts w:ascii="Verdana" w:hAnsi="Verdana"/>
          <w:b/>
          <w:bCs/>
          <w:szCs w:val="24"/>
        </w:rPr>
      </w:pPr>
      <w:r w:rsidRPr="00AF00E2">
        <w:rPr>
          <w:rFonts w:ascii="Verdana" w:hAnsi="Verdana"/>
          <w:b/>
          <w:bCs/>
          <w:szCs w:val="24"/>
        </w:rPr>
        <w:t>PARTIE INFÉRIEURE DE L’ICÔNE</w:t>
      </w:r>
    </w:p>
    <w:p w14:paraId="0F35A80F" w14:textId="77777777" w:rsidR="00AF00E2" w:rsidRPr="00AF00E2" w:rsidRDefault="00AF00E2" w:rsidP="00AF00E2">
      <w:pPr>
        <w:pStyle w:val="Texte"/>
        <w:jc w:val="both"/>
        <w:rPr>
          <w:rFonts w:ascii="Verdana" w:hAnsi="Verdana"/>
          <w:szCs w:val="24"/>
        </w:rPr>
      </w:pPr>
      <w:r w:rsidRPr="00AF00E2">
        <w:rPr>
          <w:rFonts w:ascii="Verdana" w:hAnsi="Verdana"/>
          <w:szCs w:val="24"/>
        </w:rPr>
        <w:t xml:space="preserve">Dans le bas de la composition, les apôtres sont rassemblés autour de Marie. </w:t>
      </w:r>
    </w:p>
    <w:p w14:paraId="187D0D36" w14:textId="77777777" w:rsidR="00AF00E2" w:rsidRPr="00AF00E2" w:rsidRDefault="00AF00E2" w:rsidP="00AF00E2">
      <w:pPr>
        <w:pStyle w:val="Texte"/>
        <w:jc w:val="both"/>
        <w:rPr>
          <w:rFonts w:ascii="Verdana" w:hAnsi="Verdana"/>
          <w:szCs w:val="24"/>
        </w:rPr>
      </w:pPr>
      <w:r w:rsidRPr="00AF00E2">
        <w:rPr>
          <w:rFonts w:ascii="Verdana" w:hAnsi="Verdana"/>
          <w:szCs w:val="24"/>
        </w:rPr>
        <w:pict w14:anchorId="2A6D1492">
          <v:rect id="_x0000_i1029" style="width:376.25pt;height:1.5pt" o:hrpct="800" o:hralign="center" o:hrstd="t" o:hr="t" fillcolor="#a0a0a0" stroked="f"/>
        </w:pict>
      </w:r>
    </w:p>
    <w:p w14:paraId="10708838" w14:textId="77777777" w:rsidR="00AF00E2" w:rsidRPr="00AF00E2" w:rsidRDefault="00AF00E2" w:rsidP="00AF00E2">
      <w:pPr>
        <w:pStyle w:val="Texte"/>
        <w:jc w:val="both"/>
        <w:rPr>
          <w:rFonts w:ascii="Verdana" w:hAnsi="Verdana"/>
          <w:szCs w:val="24"/>
        </w:rPr>
      </w:pPr>
      <w:r w:rsidRPr="00AF00E2">
        <w:rPr>
          <w:rFonts w:ascii="Verdana" w:hAnsi="Verdana"/>
          <w:szCs w:val="24"/>
        </w:rPr>
        <w:t xml:space="preserve">L’icône, comme dans les Actes des Apôtres, situe l’Ascension au Mont des Oliviers. </w:t>
      </w:r>
    </w:p>
    <w:p w14:paraId="48267747" w14:textId="77777777" w:rsidR="00AF00E2" w:rsidRPr="00AF00E2" w:rsidRDefault="00AF00E2" w:rsidP="00AF00E2">
      <w:pPr>
        <w:pStyle w:val="Texte"/>
        <w:jc w:val="both"/>
        <w:rPr>
          <w:rFonts w:ascii="Verdana" w:hAnsi="Verdana"/>
          <w:szCs w:val="24"/>
        </w:rPr>
      </w:pPr>
      <w:r w:rsidRPr="00AF00E2">
        <w:rPr>
          <w:rFonts w:ascii="Verdana" w:hAnsi="Verdana"/>
          <w:szCs w:val="24"/>
        </w:rPr>
        <w:pict w14:anchorId="35BAE51B">
          <v:rect id="_x0000_i1030" style="width:376.25pt;height:1.5pt" o:hrpct="800" o:hralign="center" o:hrstd="t" o:hr="t" fillcolor="#a0a0a0" stroked="f"/>
        </w:pict>
      </w:r>
    </w:p>
    <w:p w14:paraId="06BABBB5" w14:textId="77777777" w:rsidR="00AF00E2" w:rsidRPr="00AF00E2" w:rsidRDefault="00AF00E2" w:rsidP="00AF00E2">
      <w:pPr>
        <w:pStyle w:val="Texte"/>
        <w:jc w:val="both"/>
        <w:rPr>
          <w:rFonts w:ascii="Verdana" w:hAnsi="Verdana"/>
          <w:szCs w:val="24"/>
        </w:rPr>
      </w:pPr>
      <w:r w:rsidRPr="00AF00E2">
        <w:rPr>
          <w:rFonts w:ascii="Verdana" w:hAnsi="Verdana"/>
          <w:szCs w:val="24"/>
        </w:rPr>
        <w:t>C’est pourquoi elle montre un paysage montagneux avec quelques oliviers.</w:t>
      </w:r>
    </w:p>
    <w:p w14:paraId="44BFCB39" w14:textId="51E13720" w:rsidR="00AF00E2" w:rsidRPr="00AF00E2" w:rsidRDefault="00AF00E2" w:rsidP="00AF00E2">
      <w:pPr>
        <w:pStyle w:val="Texte"/>
        <w:jc w:val="both"/>
        <w:rPr>
          <w:rFonts w:ascii="Verdana" w:hAnsi="Verdana"/>
          <w:szCs w:val="24"/>
        </w:rPr>
      </w:pPr>
      <w:r w:rsidRPr="00AF00E2">
        <w:rPr>
          <w:rFonts w:ascii="Verdana" w:hAnsi="Verdana"/>
          <w:szCs w:val="24"/>
        </w:rPr>
        <w:lastRenderedPageBreak/>
        <w:drawing>
          <wp:inline distT="0" distB="0" distL="0" distR="0" wp14:anchorId="5DF3FBE6" wp14:editId="0660FD47">
            <wp:extent cx="5992495" cy="7621270"/>
            <wp:effectExtent l="0" t="0" r="8255" b="0"/>
            <wp:docPr id="1438719308" name="Image 1" descr="Une image contenant peinture, art, mythologie, habits&#10;&#10;Description générée automatiquemen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719308" name="Image 1" descr="Une image contenant peinture, art, mythologie, habits&#10;&#10;Description générée automatiquemen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2495" cy="7621270"/>
                    </a:xfrm>
                    <a:prstGeom prst="rect">
                      <a:avLst/>
                    </a:prstGeom>
                    <a:noFill/>
                    <a:ln>
                      <a:noFill/>
                    </a:ln>
                  </pic:spPr>
                </pic:pic>
              </a:graphicData>
            </a:graphic>
          </wp:inline>
        </w:drawing>
      </w:r>
    </w:p>
    <w:p w14:paraId="0CE41397" w14:textId="77777777" w:rsidR="00AF00E2" w:rsidRPr="00AF00E2" w:rsidRDefault="00AF00E2" w:rsidP="00AF00E2">
      <w:pPr>
        <w:pStyle w:val="Texte"/>
        <w:jc w:val="both"/>
        <w:rPr>
          <w:rFonts w:ascii="Verdana" w:hAnsi="Verdana"/>
          <w:b/>
          <w:bCs/>
          <w:szCs w:val="24"/>
        </w:rPr>
      </w:pPr>
      <w:r w:rsidRPr="00AF00E2">
        <w:rPr>
          <w:rFonts w:ascii="Verdana" w:hAnsi="Verdana"/>
          <w:b/>
          <w:bCs/>
          <w:szCs w:val="24"/>
        </w:rPr>
        <w:t>Les apôtres</w:t>
      </w:r>
    </w:p>
    <w:p w14:paraId="24D03F14" w14:textId="77777777" w:rsidR="00AF00E2" w:rsidRPr="00AF00E2" w:rsidRDefault="00AF00E2" w:rsidP="00AF00E2">
      <w:pPr>
        <w:pStyle w:val="Texte"/>
        <w:jc w:val="both"/>
        <w:rPr>
          <w:rFonts w:ascii="Verdana" w:hAnsi="Verdana"/>
          <w:szCs w:val="24"/>
        </w:rPr>
      </w:pPr>
      <w:r w:rsidRPr="00AF00E2">
        <w:rPr>
          <w:rFonts w:ascii="Verdana" w:hAnsi="Verdana"/>
          <w:szCs w:val="24"/>
        </w:rPr>
        <w:t>À gauche de Marie, six apôtres sont représentés, dont Paul représentant les fidèles qui, dans l’Église et à travers les siècles, confessent le Christ à la suite des apôtres. Les six apôtres groupés à la droite de Marie tendent la main vers le ciel ou vers l’avant, gestes qui signifient la louange et la prédication. Ils sont appelés à rassembler depuis les extrémités de la terre.</w:t>
      </w:r>
    </w:p>
    <w:p w14:paraId="6410B715" w14:textId="77777777" w:rsidR="00AF00E2" w:rsidRPr="00AF00E2" w:rsidRDefault="00AF00E2" w:rsidP="00AF00E2">
      <w:pPr>
        <w:pStyle w:val="Texte"/>
        <w:jc w:val="both"/>
        <w:rPr>
          <w:rFonts w:ascii="Verdana" w:hAnsi="Verdana"/>
          <w:szCs w:val="24"/>
        </w:rPr>
      </w:pPr>
      <w:r w:rsidRPr="00AF00E2">
        <w:rPr>
          <w:rFonts w:ascii="Verdana" w:hAnsi="Verdana"/>
          <w:szCs w:val="24"/>
        </w:rPr>
        <w:lastRenderedPageBreak/>
        <w:t>Certains apôtres sont vêtus de vert et de rouge. Le vert est la couleur de l’espérance et de la vie, c’est la couleur de l’Esprit vivificateur. Elle rappelle la promesse du Christ à ses disciples, le jour même de l’Ascension, qu’il leur enverra l’Esprit de vérité, gage d’espérance. Le rouge, lui, symbolise l’amour qui rassemble, le sang de la fraternité, le sang versé pour nous faire reconnaître notre filiation à Dieu notre Père.</w:t>
      </w:r>
    </w:p>
    <w:p w14:paraId="704C9225" w14:textId="77777777" w:rsidR="00AF00E2" w:rsidRPr="00AF00E2" w:rsidRDefault="00AF00E2" w:rsidP="00AF00E2">
      <w:pPr>
        <w:pStyle w:val="Texte"/>
        <w:jc w:val="both"/>
        <w:rPr>
          <w:rFonts w:ascii="Verdana" w:hAnsi="Verdana"/>
          <w:b/>
          <w:bCs/>
          <w:szCs w:val="24"/>
        </w:rPr>
      </w:pPr>
      <w:r w:rsidRPr="00AF00E2">
        <w:rPr>
          <w:rFonts w:ascii="Verdana" w:hAnsi="Verdana"/>
          <w:b/>
          <w:bCs/>
          <w:szCs w:val="24"/>
        </w:rPr>
        <w:t>Marie</w:t>
      </w:r>
    </w:p>
    <w:p w14:paraId="448F7666" w14:textId="77777777" w:rsidR="00AF00E2" w:rsidRPr="00AF00E2" w:rsidRDefault="00AF00E2" w:rsidP="00AF00E2">
      <w:pPr>
        <w:pStyle w:val="Texte"/>
        <w:jc w:val="both"/>
        <w:rPr>
          <w:rFonts w:ascii="Verdana" w:hAnsi="Verdana"/>
          <w:szCs w:val="24"/>
        </w:rPr>
      </w:pPr>
      <w:r w:rsidRPr="00AF00E2">
        <w:rPr>
          <w:rFonts w:ascii="Verdana" w:hAnsi="Verdana"/>
          <w:szCs w:val="24"/>
        </w:rPr>
        <w:t>Marie est debout dans une attitude de prière et de disponibilité à la Volonté du Père, comme à l’Annonciation. Son immobilité exprime sa fidélité indéfectible. La position de l’Orante dans laquelle Marie est représentée est également la position de l’Église. Marie, seule à nous regarder, nous invite, du geste des mains, à la paix. Elle devient chemin vers son Fils. Placée directement sous le Christ, elle est mise en lumière par la présence des deux anges vêtus de blanc situés derrière elle.</w:t>
      </w:r>
    </w:p>
    <w:p w14:paraId="4EBE02B1" w14:textId="77777777" w:rsidR="00AF00E2" w:rsidRPr="00AF00E2" w:rsidRDefault="00AF00E2" w:rsidP="00AF00E2">
      <w:pPr>
        <w:pStyle w:val="Texte"/>
        <w:jc w:val="both"/>
        <w:rPr>
          <w:rFonts w:ascii="Verdana" w:hAnsi="Verdana"/>
          <w:b/>
          <w:bCs/>
          <w:szCs w:val="24"/>
        </w:rPr>
      </w:pPr>
      <w:r w:rsidRPr="00AF00E2">
        <w:rPr>
          <w:rFonts w:ascii="Verdana" w:hAnsi="Verdana"/>
          <w:b/>
          <w:bCs/>
          <w:szCs w:val="24"/>
        </w:rPr>
        <w:t>Les anges</w:t>
      </w:r>
    </w:p>
    <w:p w14:paraId="6A7A1FC2" w14:textId="77777777" w:rsidR="00AF00E2" w:rsidRPr="00AF00E2" w:rsidRDefault="00AF00E2" w:rsidP="00AF00E2">
      <w:pPr>
        <w:pStyle w:val="Texte"/>
        <w:jc w:val="both"/>
        <w:rPr>
          <w:rFonts w:ascii="Verdana" w:hAnsi="Verdana"/>
          <w:szCs w:val="24"/>
        </w:rPr>
      </w:pPr>
      <w:r w:rsidRPr="00AF00E2">
        <w:rPr>
          <w:rFonts w:ascii="Verdana" w:hAnsi="Verdana"/>
          <w:szCs w:val="24"/>
        </w:rPr>
        <w:t>Les anges qui se trouvent parmi les apôtres sont vêtus d’une blancheur éclatante. Ils rappellent les messagers du jour de la Résurrection (</w:t>
      </w:r>
      <w:proofErr w:type="spellStart"/>
      <w:r w:rsidRPr="00AF00E2">
        <w:rPr>
          <w:rFonts w:ascii="Verdana" w:hAnsi="Verdana"/>
          <w:szCs w:val="24"/>
        </w:rPr>
        <w:t>Lc</w:t>
      </w:r>
      <w:proofErr w:type="spellEnd"/>
      <w:r w:rsidRPr="00AF00E2">
        <w:rPr>
          <w:rFonts w:ascii="Verdana" w:hAnsi="Verdana"/>
          <w:szCs w:val="24"/>
        </w:rPr>
        <w:t xml:space="preserve"> 24,</w:t>
      </w:r>
      <w:proofErr w:type="gramStart"/>
      <w:r w:rsidRPr="00AF00E2">
        <w:rPr>
          <w:rFonts w:ascii="Verdana" w:hAnsi="Verdana"/>
          <w:szCs w:val="24"/>
        </w:rPr>
        <w:t>2;</w:t>
      </w:r>
      <w:proofErr w:type="gramEnd"/>
      <w:r w:rsidRPr="00AF00E2">
        <w:rPr>
          <w:rFonts w:ascii="Verdana" w:hAnsi="Verdana"/>
          <w:szCs w:val="24"/>
        </w:rPr>
        <w:t xml:space="preserve"> </w:t>
      </w:r>
      <w:proofErr w:type="spellStart"/>
      <w:r w:rsidRPr="00AF00E2">
        <w:rPr>
          <w:rFonts w:ascii="Verdana" w:hAnsi="Verdana"/>
          <w:szCs w:val="24"/>
        </w:rPr>
        <w:t>Jn</w:t>
      </w:r>
      <w:proofErr w:type="spellEnd"/>
      <w:r w:rsidRPr="00AF00E2">
        <w:rPr>
          <w:rFonts w:ascii="Verdana" w:hAnsi="Verdana"/>
          <w:szCs w:val="24"/>
        </w:rPr>
        <w:t xml:space="preserve"> 20,12). Ils annoncent ici le retour du Christ en gloire à la fin des temps. C’est pourquoi ils sont parfois représentés tenant un rouleau déployé sur lequel on peut </w:t>
      </w:r>
      <w:proofErr w:type="gramStart"/>
      <w:r w:rsidRPr="00AF00E2">
        <w:rPr>
          <w:rFonts w:ascii="Verdana" w:hAnsi="Verdana"/>
          <w:szCs w:val="24"/>
        </w:rPr>
        <w:t>lire:</w:t>
      </w:r>
      <w:proofErr w:type="gramEnd"/>
      <w:r w:rsidRPr="00AF00E2">
        <w:rPr>
          <w:rFonts w:ascii="Verdana" w:hAnsi="Verdana"/>
          <w:szCs w:val="24"/>
        </w:rPr>
        <w:t xml:space="preserve"> </w:t>
      </w:r>
      <w:r w:rsidRPr="00AF00E2">
        <w:rPr>
          <w:rFonts w:ascii="Verdana" w:hAnsi="Verdana"/>
          <w:i/>
          <w:iCs/>
          <w:szCs w:val="24"/>
        </w:rPr>
        <w:t>Gens de Galilée, pourquoi restez-vous là à regarder le ciel? Ce Jésus qui vous a été enlevé viendra de la même manière que vous l’avez vu s’en aller vers le ciel</w:t>
      </w:r>
      <w:r w:rsidRPr="00AF00E2">
        <w:rPr>
          <w:rFonts w:ascii="Verdana" w:hAnsi="Verdana"/>
          <w:szCs w:val="24"/>
        </w:rPr>
        <w:t xml:space="preserve"> (</w:t>
      </w:r>
      <w:proofErr w:type="spellStart"/>
      <w:r w:rsidRPr="00AF00E2">
        <w:rPr>
          <w:rFonts w:ascii="Verdana" w:hAnsi="Verdana"/>
          <w:szCs w:val="24"/>
        </w:rPr>
        <w:t>Ac</w:t>
      </w:r>
      <w:proofErr w:type="spellEnd"/>
      <w:r w:rsidRPr="00AF00E2">
        <w:rPr>
          <w:rFonts w:ascii="Verdana" w:hAnsi="Verdana"/>
          <w:szCs w:val="24"/>
        </w:rPr>
        <w:t xml:space="preserve"> 1,11).</w:t>
      </w:r>
    </w:p>
    <w:p w14:paraId="6A213F0C" w14:textId="77777777" w:rsidR="00AF00E2" w:rsidRPr="00AF00E2" w:rsidRDefault="00AF00E2" w:rsidP="00AF00E2">
      <w:pPr>
        <w:pStyle w:val="Texte"/>
        <w:jc w:val="both"/>
        <w:rPr>
          <w:rFonts w:ascii="Verdana" w:hAnsi="Verdana"/>
          <w:szCs w:val="24"/>
        </w:rPr>
      </w:pPr>
      <w:r w:rsidRPr="00AF00E2">
        <w:rPr>
          <w:rFonts w:ascii="Verdana" w:hAnsi="Verdana"/>
          <w:szCs w:val="24"/>
        </w:rPr>
        <w:pict w14:anchorId="74137E25">
          <v:rect id="_x0000_i1032" style="width:376.25pt;height:1.5pt" o:hrpct="800" o:hralign="center" o:hrstd="t" o:hr="t" fillcolor="#a0a0a0" stroked="f"/>
        </w:pict>
      </w:r>
    </w:p>
    <w:p w14:paraId="187CACF1" w14:textId="77777777" w:rsidR="00AF00E2" w:rsidRPr="00AF00E2" w:rsidRDefault="00AF00E2" w:rsidP="00AF00E2">
      <w:pPr>
        <w:pStyle w:val="Texte"/>
        <w:jc w:val="both"/>
        <w:rPr>
          <w:rFonts w:ascii="Verdana" w:hAnsi="Verdana"/>
          <w:b/>
          <w:bCs/>
          <w:szCs w:val="24"/>
        </w:rPr>
      </w:pPr>
      <w:r w:rsidRPr="00AF00E2">
        <w:rPr>
          <w:rFonts w:ascii="Verdana" w:hAnsi="Verdana"/>
          <w:b/>
          <w:bCs/>
          <w:szCs w:val="24"/>
        </w:rPr>
        <w:t>LA MISSION DE L’ÉGLISE</w:t>
      </w:r>
    </w:p>
    <w:p w14:paraId="02035D84" w14:textId="77777777" w:rsidR="00AF00E2" w:rsidRPr="00AF00E2" w:rsidRDefault="00AF00E2" w:rsidP="00AF00E2">
      <w:pPr>
        <w:pStyle w:val="Texte"/>
        <w:jc w:val="both"/>
        <w:rPr>
          <w:rFonts w:ascii="Verdana" w:hAnsi="Verdana"/>
          <w:szCs w:val="24"/>
        </w:rPr>
      </w:pPr>
      <w:r w:rsidRPr="00AF00E2">
        <w:rPr>
          <w:rFonts w:ascii="Verdana" w:hAnsi="Verdana"/>
          <w:szCs w:val="24"/>
        </w:rPr>
        <w:t xml:space="preserve">Le fait que les anges vêtus de couleur accompagnent le Christ dans sa gloire et que les anges vêtus de lumière soient placés au milieu des apôtres, exprime que désormais, la nature humaine est montée au ciel et que la nature divine est restée sur terre au milieu de l’Église. Par son attitude, Marie exprime le rôle de </w:t>
      </w:r>
      <w:proofErr w:type="gramStart"/>
      <w:r w:rsidRPr="00AF00E2">
        <w:rPr>
          <w:rFonts w:ascii="Verdana" w:hAnsi="Verdana"/>
          <w:szCs w:val="24"/>
        </w:rPr>
        <w:t>l’Église:</w:t>
      </w:r>
      <w:proofErr w:type="gramEnd"/>
      <w:r w:rsidRPr="00AF00E2">
        <w:rPr>
          <w:rFonts w:ascii="Verdana" w:hAnsi="Verdana"/>
          <w:szCs w:val="24"/>
        </w:rPr>
        <w:t xml:space="preserve"> intercéder dans la prière pour l’humanité entière. </w:t>
      </w:r>
    </w:p>
    <w:p w14:paraId="56273AC3" w14:textId="77777777" w:rsidR="00AF00E2" w:rsidRPr="00AF00E2" w:rsidRDefault="00AF00E2" w:rsidP="00AF00E2">
      <w:pPr>
        <w:pStyle w:val="Texte"/>
        <w:jc w:val="both"/>
        <w:rPr>
          <w:rFonts w:ascii="Verdana" w:hAnsi="Verdana"/>
          <w:szCs w:val="24"/>
        </w:rPr>
      </w:pPr>
      <w:r w:rsidRPr="00AF00E2">
        <w:rPr>
          <w:rFonts w:ascii="Verdana" w:hAnsi="Verdana"/>
          <w:szCs w:val="24"/>
        </w:rPr>
        <w:t>L’Église a également le rôle de porter témoignage et de proclamer sa foi dans le monde entier. Si, après l’Ascension, les apôtres retournèrent à Jérusalem tout joyeux (</w:t>
      </w:r>
      <w:proofErr w:type="spellStart"/>
      <w:r w:rsidRPr="00AF00E2">
        <w:rPr>
          <w:rFonts w:ascii="Verdana" w:hAnsi="Verdana"/>
          <w:szCs w:val="24"/>
        </w:rPr>
        <w:t>Lc</w:t>
      </w:r>
      <w:proofErr w:type="spellEnd"/>
      <w:r w:rsidRPr="00AF00E2">
        <w:rPr>
          <w:rFonts w:ascii="Verdana" w:hAnsi="Verdana"/>
          <w:szCs w:val="24"/>
        </w:rPr>
        <w:t xml:space="preserve"> 24,52), c’est qu’ils étaient remplis d’une </w:t>
      </w:r>
      <w:proofErr w:type="gramStart"/>
      <w:r w:rsidRPr="00AF00E2">
        <w:rPr>
          <w:rFonts w:ascii="Verdana" w:hAnsi="Verdana"/>
          <w:szCs w:val="24"/>
        </w:rPr>
        <w:t>promesse:</w:t>
      </w:r>
      <w:proofErr w:type="gramEnd"/>
      <w:r w:rsidRPr="00AF00E2">
        <w:rPr>
          <w:rFonts w:ascii="Verdana" w:hAnsi="Verdana"/>
          <w:szCs w:val="24"/>
        </w:rPr>
        <w:t xml:space="preserve"> celle de la Présence éternelle du Christ par son Esprit. </w:t>
      </w:r>
    </w:p>
    <w:p w14:paraId="3A063252" w14:textId="77777777" w:rsidR="00AF00E2" w:rsidRPr="00AF00E2" w:rsidRDefault="00AF00E2" w:rsidP="00AF00E2">
      <w:pPr>
        <w:pStyle w:val="Texte"/>
        <w:jc w:val="both"/>
        <w:rPr>
          <w:rFonts w:ascii="Verdana" w:hAnsi="Verdana"/>
          <w:szCs w:val="24"/>
        </w:rPr>
      </w:pPr>
      <w:r w:rsidRPr="00AF00E2">
        <w:rPr>
          <w:rFonts w:ascii="Verdana" w:hAnsi="Verdana"/>
          <w:szCs w:val="24"/>
        </w:rPr>
        <w:t xml:space="preserve">Fortifiés par cette Présence vivante et agissante, ils ont eu l’audace de proclamer que Jésus est bien le Fils du Père, celui qui parachève l’humanité selon les Écritures. </w:t>
      </w:r>
    </w:p>
    <w:p w14:paraId="1AC5385A" w14:textId="77777777" w:rsidR="00AF00E2" w:rsidRPr="00AF00E2" w:rsidRDefault="00AF00E2" w:rsidP="00AF00E2">
      <w:pPr>
        <w:pStyle w:val="Texte"/>
        <w:jc w:val="both"/>
        <w:rPr>
          <w:rFonts w:ascii="Verdana" w:hAnsi="Verdana"/>
          <w:szCs w:val="24"/>
        </w:rPr>
      </w:pPr>
      <w:r w:rsidRPr="00AF00E2">
        <w:rPr>
          <w:rFonts w:ascii="Verdana" w:hAnsi="Verdana"/>
          <w:szCs w:val="24"/>
        </w:rPr>
        <w:pict w14:anchorId="2ADB383F">
          <v:rect id="_x0000_i1033" style="width:376.25pt;height:1.5pt" o:hrpct="800" o:hralign="center" o:hrstd="t" o:hr="t" fillcolor="#a0a0a0" stroked="f"/>
        </w:pict>
      </w:r>
    </w:p>
    <w:p w14:paraId="1B0F8FE4" w14:textId="6F2A1761" w:rsidR="00AF00E2" w:rsidRPr="00AF00E2" w:rsidRDefault="00AF00E2" w:rsidP="00AF00E2">
      <w:pPr>
        <w:pStyle w:val="Texte"/>
        <w:jc w:val="both"/>
        <w:rPr>
          <w:rFonts w:ascii="Verdana" w:hAnsi="Verdana"/>
          <w:szCs w:val="24"/>
        </w:rPr>
      </w:pPr>
      <w:r w:rsidRPr="00AF00E2">
        <w:rPr>
          <w:rFonts w:ascii="Verdana" w:hAnsi="Verdana"/>
          <w:b/>
          <w:bCs/>
          <w:szCs w:val="24"/>
        </w:rPr>
        <w:t>L’icône de l’Ascension est donc comme un appel à l’Église</w:t>
      </w:r>
      <w:r>
        <w:rPr>
          <w:rFonts w:ascii="Verdana" w:hAnsi="Verdana"/>
          <w:b/>
          <w:bCs/>
          <w:szCs w:val="24"/>
        </w:rPr>
        <w:t xml:space="preserve"> </w:t>
      </w:r>
      <w:r w:rsidRPr="00AF00E2">
        <w:rPr>
          <w:rFonts w:ascii="Verdana" w:hAnsi="Verdana"/>
          <w:b/>
          <w:bCs/>
          <w:szCs w:val="24"/>
        </w:rPr>
        <w:t xml:space="preserve">: tournons-nous vers le Christ notre gloire et notre </w:t>
      </w:r>
      <w:proofErr w:type="gramStart"/>
      <w:r w:rsidRPr="00AF00E2">
        <w:rPr>
          <w:rFonts w:ascii="Verdana" w:hAnsi="Verdana"/>
          <w:b/>
          <w:bCs/>
          <w:szCs w:val="24"/>
        </w:rPr>
        <w:t>salut;</w:t>
      </w:r>
      <w:proofErr w:type="gramEnd"/>
      <w:r w:rsidRPr="00AF00E2">
        <w:rPr>
          <w:rFonts w:ascii="Verdana" w:hAnsi="Verdana"/>
          <w:b/>
          <w:bCs/>
          <w:szCs w:val="24"/>
        </w:rPr>
        <w:t xml:space="preserve"> c’est lui qui nous rassemble jusqu’à son retour.</w:t>
      </w:r>
    </w:p>
    <w:p w14:paraId="3F0FE456" w14:textId="77777777" w:rsidR="00AF00E2" w:rsidRPr="00AF00E2" w:rsidRDefault="00AF00E2" w:rsidP="00AF00E2">
      <w:pPr>
        <w:pStyle w:val="Texte"/>
        <w:jc w:val="both"/>
        <w:rPr>
          <w:rFonts w:ascii="Verdana" w:hAnsi="Verdana"/>
          <w:szCs w:val="24"/>
        </w:rPr>
      </w:pPr>
      <w:r w:rsidRPr="00AF00E2">
        <w:rPr>
          <w:rFonts w:ascii="Verdana" w:hAnsi="Verdana"/>
          <w:szCs w:val="24"/>
        </w:rPr>
        <w:pict w14:anchorId="37098475">
          <v:rect id="_x0000_i1034" style="width:376.25pt;height:1.5pt" o:hrpct="800" o:hralign="center" o:hrstd="t" o:hr="t" fillcolor="#a0a0a0" stroked="f"/>
        </w:pict>
      </w:r>
    </w:p>
    <w:p w14:paraId="5FB78E28" w14:textId="77777777" w:rsidR="00AF00E2" w:rsidRPr="00AF00E2" w:rsidRDefault="00AF00E2" w:rsidP="00AF00E2">
      <w:pPr>
        <w:pStyle w:val="Texte"/>
        <w:jc w:val="both"/>
        <w:rPr>
          <w:rFonts w:ascii="Verdana" w:hAnsi="Verdana"/>
          <w:szCs w:val="24"/>
        </w:rPr>
      </w:pPr>
      <w:r w:rsidRPr="00AF00E2">
        <w:rPr>
          <w:rFonts w:ascii="Verdana" w:hAnsi="Verdana"/>
          <w:szCs w:val="24"/>
        </w:rPr>
        <w:t xml:space="preserve">*Texte inspiré d’une méditation de Michel </w:t>
      </w:r>
      <w:proofErr w:type="spellStart"/>
      <w:r w:rsidRPr="00AF00E2">
        <w:rPr>
          <w:rFonts w:ascii="Verdana" w:hAnsi="Verdana"/>
          <w:szCs w:val="24"/>
        </w:rPr>
        <w:t>Saint-Onge</w:t>
      </w:r>
      <w:proofErr w:type="spellEnd"/>
      <w:r w:rsidRPr="00AF00E2">
        <w:rPr>
          <w:rFonts w:ascii="Verdana" w:hAnsi="Verdana"/>
          <w:szCs w:val="24"/>
        </w:rPr>
        <w:t xml:space="preserve"> sur l’icône de l’Ascension et du livre </w:t>
      </w:r>
      <w:r w:rsidRPr="00AF00E2">
        <w:rPr>
          <w:rFonts w:ascii="Verdana" w:hAnsi="Verdana"/>
          <w:i/>
          <w:iCs/>
          <w:szCs w:val="24"/>
        </w:rPr>
        <w:t>Parole pour nos yeux</w:t>
      </w:r>
      <w:r w:rsidRPr="00AF00E2">
        <w:rPr>
          <w:rFonts w:ascii="Verdana" w:hAnsi="Verdana"/>
          <w:szCs w:val="24"/>
        </w:rPr>
        <w:t xml:space="preserve"> (1992) Québec, </w:t>
      </w:r>
      <w:proofErr w:type="spellStart"/>
      <w:proofErr w:type="gramStart"/>
      <w:r w:rsidRPr="00AF00E2">
        <w:rPr>
          <w:rFonts w:ascii="Verdana" w:hAnsi="Verdana"/>
          <w:szCs w:val="24"/>
        </w:rPr>
        <w:t>Qc</w:t>
      </w:r>
      <w:proofErr w:type="spellEnd"/>
      <w:r w:rsidRPr="00AF00E2">
        <w:rPr>
          <w:rFonts w:ascii="Verdana" w:hAnsi="Verdana"/>
          <w:szCs w:val="24"/>
        </w:rPr>
        <w:t>:</w:t>
      </w:r>
      <w:proofErr w:type="gramEnd"/>
      <w:r w:rsidRPr="00AF00E2">
        <w:rPr>
          <w:rFonts w:ascii="Verdana" w:hAnsi="Verdana"/>
          <w:szCs w:val="24"/>
        </w:rPr>
        <w:t xml:space="preserve"> Éditions Anne </w:t>
      </w:r>
      <w:proofErr w:type="spellStart"/>
      <w:r w:rsidRPr="00AF00E2">
        <w:rPr>
          <w:rFonts w:ascii="Verdana" w:hAnsi="Verdana"/>
          <w:szCs w:val="24"/>
        </w:rPr>
        <w:t>Sigier</w:t>
      </w:r>
      <w:proofErr w:type="spellEnd"/>
      <w:r w:rsidRPr="00AF00E2">
        <w:rPr>
          <w:rFonts w:ascii="Verdana" w:hAnsi="Verdana"/>
          <w:szCs w:val="24"/>
        </w:rPr>
        <w:t>.</w:t>
      </w:r>
    </w:p>
    <w:p w14:paraId="5628CDA9" w14:textId="77777777" w:rsidR="00D82242" w:rsidRPr="00AF00E2" w:rsidRDefault="00D82242" w:rsidP="00D82242">
      <w:pPr>
        <w:pStyle w:val="Texte"/>
        <w:jc w:val="both"/>
        <w:rPr>
          <w:rFonts w:ascii="Verdana" w:hAnsi="Verdana"/>
          <w:szCs w:val="24"/>
        </w:rPr>
      </w:pPr>
    </w:p>
    <w:sectPr w:rsidR="00D82242" w:rsidRPr="00AF00E2">
      <w:headerReference w:type="default" r:id="rId10"/>
      <w:footerReference w:type="default" r:id="rId11"/>
      <w:type w:val="continuous"/>
      <w:pgSz w:w="11907" w:h="16834" w:code="9"/>
      <w:pgMar w:top="1134" w:right="1134" w:bottom="1134" w:left="1134" w:header="805"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E1C6A5" w14:textId="77777777" w:rsidR="00EB710E" w:rsidRDefault="00EB710E">
      <w:r>
        <w:separator/>
      </w:r>
    </w:p>
  </w:endnote>
  <w:endnote w:type="continuationSeparator" w:id="0">
    <w:p w14:paraId="0B2C7AC9" w14:textId="77777777" w:rsidR="00EB710E" w:rsidRDefault="00EB7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Univers Condensed">
    <w:charset w:val="00"/>
    <w:family w:val="swiss"/>
    <w:pitch w:val="variable"/>
    <w:sig w:usb0="80000287" w:usb1="00000000" w:usb2="00000000" w:usb3="00000000" w:csb0="0000009F" w:csb1="00000000"/>
  </w:font>
  <w:font w:name="Abadi MT Condensed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68CF16" w14:textId="77777777" w:rsidR="00B5271F" w:rsidRDefault="00B5271F">
    <w:pPr>
      <w:pStyle w:val="Pieddepage"/>
      <w:jc w:val="center"/>
      <w:rPr>
        <w:b/>
      </w:rPr>
    </w:pPr>
    <w:r>
      <w:rPr>
        <w:rStyle w:val="Numrodepage"/>
        <w:b/>
      </w:rPr>
      <w:fldChar w:fldCharType="begin"/>
    </w:r>
    <w:r>
      <w:rPr>
        <w:rStyle w:val="Numrodepage"/>
        <w:b/>
      </w:rPr>
      <w:instrText xml:space="preserve"> PAGE </w:instrText>
    </w:r>
    <w:r>
      <w:rPr>
        <w:rStyle w:val="Numrodepage"/>
        <w:b/>
      </w:rPr>
      <w:fldChar w:fldCharType="separate"/>
    </w:r>
    <w:r>
      <w:rPr>
        <w:rStyle w:val="Numrodepage"/>
        <w:b/>
        <w:noProof/>
      </w:rPr>
      <w:t>1</w:t>
    </w:r>
    <w:r>
      <w:rPr>
        <w:rStyle w:val="Numrodepage"/>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426A1A" w14:textId="77777777" w:rsidR="00EB710E" w:rsidRDefault="00EB710E">
      <w:r>
        <w:separator/>
      </w:r>
    </w:p>
  </w:footnote>
  <w:footnote w:type="continuationSeparator" w:id="0">
    <w:p w14:paraId="31832A81" w14:textId="77777777" w:rsidR="00EB710E" w:rsidRDefault="00EB7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1A7A6" w14:textId="67B2D413" w:rsidR="00B5271F" w:rsidRDefault="00AF00E2">
    <w:pPr>
      <w:pStyle w:val="En-tte"/>
    </w:pPr>
    <w:proofErr w:type="spellStart"/>
    <w:r>
      <w:rPr>
        <w:b/>
        <w:sz w:val="28"/>
      </w:rPr>
      <w:t>Acension</w:t>
    </w:r>
    <w:proofErr w:type="spellEnd"/>
  </w:p>
  <w:p w14:paraId="28992EE6" w14:textId="77777777" w:rsidR="00B5271F" w:rsidRDefault="00B5271F">
    <w:pPr>
      <w:pStyle w:val="En-tte"/>
      <w:pBdr>
        <w:top w:val="single" w:sz="24"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7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0E2"/>
    <w:rsid w:val="00003293"/>
    <w:rsid w:val="00003E43"/>
    <w:rsid w:val="00044F49"/>
    <w:rsid w:val="000A5C23"/>
    <w:rsid w:val="000C4403"/>
    <w:rsid w:val="000E29C3"/>
    <w:rsid w:val="000F3122"/>
    <w:rsid w:val="00113C72"/>
    <w:rsid w:val="00125BC0"/>
    <w:rsid w:val="00153999"/>
    <w:rsid w:val="001621D9"/>
    <w:rsid w:val="0018713C"/>
    <w:rsid w:val="001871E4"/>
    <w:rsid w:val="00193250"/>
    <w:rsid w:val="001A2AA2"/>
    <w:rsid w:val="001C2465"/>
    <w:rsid w:val="001C4637"/>
    <w:rsid w:val="001D3CBB"/>
    <w:rsid w:val="002035D6"/>
    <w:rsid w:val="00224CA3"/>
    <w:rsid w:val="00232A16"/>
    <w:rsid w:val="00235644"/>
    <w:rsid w:val="0025088D"/>
    <w:rsid w:val="002512B2"/>
    <w:rsid w:val="00263608"/>
    <w:rsid w:val="0026669F"/>
    <w:rsid w:val="0028373C"/>
    <w:rsid w:val="002A1719"/>
    <w:rsid w:val="002B2EFE"/>
    <w:rsid w:val="002C352C"/>
    <w:rsid w:val="002C3CEF"/>
    <w:rsid w:val="002E563C"/>
    <w:rsid w:val="002F40A6"/>
    <w:rsid w:val="00315F5B"/>
    <w:rsid w:val="00322B46"/>
    <w:rsid w:val="00340813"/>
    <w:rsid w:val="00357C9B"/>
    <w:rsid w:val="0036047B"/>
    <w:rsid w:val="00367D25"/>
    <w:rsid w:val="003A1730"/>
    <w:rsid w:val="003D3640"/>
    <w:rsid w:val="003E1A00"/>
    <w:rsid w:val="004114CA"/>
    <w:rsid w:val="004202A7"/>
    <w:rsid w:val="00455F5A"/>
    <w:rsid w:val="00470076"/>
    <w:rsid w:val="004955BC"/>
    <w:rsid w:val="004A0C4E"/>
    <w:rsid w:val="004A657B"/>
    <w:rsid w:val="004C05FC"/>
    <w:rsid w:val="004C1291"/>
    <w:rsid w:val="004C7BD7"/>
    <w:rsid w:val="004D0DBC"/>
    <w:rsid w:val="004E0DB9"/>
    <w:rsid w:val="004E715A"/>
    <w:rsid w:val="004F2538"/>
    <w:rsid w:val="004F48E1"/>
    <w:rsid w:val="004F4925"/>
    <w:rsid w:val="00505991"/>
    <w:rsid w:val="00506257"/>
    <w:rsid w:val="00571A37"/>
    <w:rsid w:val="00576FBF"/>
    <w:rsid w:val="00584DD8"/>
    <w:rsid w:val="0058592C"/>
    <w:rsid w:val="005B591F"/>
    <w:rsid w:val="005C1289"/>
    <w:rsid w:val="005C4101"/>
    <w:rsid w:val="005D1F3B"/>
    <w:rsid w:val="005D5537"/>
    <w:rsid w:val="00612C37"/>
    <w:rsid w:val="00612F3F"/>
    <w:rsid w:val="006200BA"/>
    <w:rsid w:val="00621AEF"/>
    <w:rsid w:val="00623851"/>
    <w:rsid w:val="00624D04"/>
    <w:rsid w:val="00634C63"/>
    <w:rsid w:val="006445ED"/>
    <w:rsid w:val="00644844"/>
    <w:rsid w:val="00645E89"/>
    <w:rsid w:val="00647168"/>
    <w:rsid w:val="006D3061"/>
    <w:rsid w:val="006E6CEB"/>
    <w:rsid w:val="006F0373"/>
    <w:rsid w:val="00703B13"/>
    <w:rsid w:val="00726806"/>
    <w:rsid w:val="00737BE9"/>
    <w:rsid w:val="00737DE4"/>
    <w:rsid w:val="007445D1"/>
    <w:rsid w:val="00777CA6"/>
    <w:rsid w:val="007928D0"/>
    <w:rsid w:val="007A7E39"/>
    <w:rsid w:val="007C09C5"/>
    <w:rsid w:val="007D596E"/>
    <w:rsid w:val="007F4AA7"/>
    <w:rsid w:val="008246E8"/>
    <w:rsid w:val="00832861"/>
    <w:rsid w:val="00843578"/>
    <w:rsid w:val="008632F8"/>
    <w:rsid w:val="00864F2C"/>
    <w:rsid w:val="008723B4"/>
    <w:rsid w:val="00884624"/>
    <w:rsid w:val="008A6BC7"/>
    <w:rsid w:val="008B1F3E"/>
    <w:rsid w:val="008B21DE"/>
    <w:rsid w:val="00920102"/>
    <w:rsid w:val="00942135"/>
    <w:rsid w:val="00956758"/>
    <w:rsid w:val="00966C6E"/>
    <w:rsid w:val="00970EB4"/>
    <w:rsid w:val="0098303E"/>
    <w:rsid w:val="00983C00"/>
    <w:rsid w:val="0098592C"/>
    <w:rsid w:val="00992E71"/>
    <w:rsid w:val="009A438A"/>
    <w:rsid w:val="009B0603"/>
    <w:rsid w:val="009E32B4"/>
    <w:rsid w:val="009F20A2"/>
    <w:rsid w:val="009F2220"/>
    <w:rsid w:val="00A348E8"/>
    <w:rsid w:val="00A45123"/>
    <w:rsid w:val="00A458E7"/>
    <w:rsid w:val="00A46907"/>
    <w:rsid w:val="00A67EF2"/>
    <w:rsid w:val="00A83981"/>
    <w:rsid w:val="00A94135"/>
    <w:rsid w:val="00A966DE"/>
    <w:rsid w:val="00AC1F76"/>
    <w:rsid w:val="00AC2CDB"/>
    <w:rsid w:val="00AD2622"/>
    <w:rsid w:val="00AD2FBF"/>
    <w:rsid w:val="00AE13A9"/>
    <w:rsid w:val="00AF00E2"/>
    <w:rsid w:val="00B035BA"/>
    <w:rsid w:val="00B03877"/>
    <w:rsid w:val="00B07D3E"/>
    <w:rsid w:val="00B25961"/>
    <w:rsid w:val="00B33E88"/>
    <w:rsid w:val="00B5271F"/>
    <w:rsid w:val="00B57371"/>
    <w:rsid w:val="00B66859"/>
    <w:rsid w:val="00B75FDB"/>
    <w:rsid w:val="00B76090"/>
    <w:rsid w:val="00B9240E"/>
    <w:rsid w:val="00BA19C9"/>
    <w:rsid w:val="00BC764A"/>
    <w:rsid w:val="00BD1C53"/>
    <w:rsid w:val="00BF5DD8"/>
    <w:rsid w:val="00C21B07"/>
    <w:rsid w:val="00C34252"/>
    <w:rsid w:val="00C4304F"/>
    <w:rsid w:val="00C47EF5"/>
    <w:rsid w:val="00C51BFB"/>
    <w:rsid w:val="00C63303"/>
    <w:rsid w:val="00C71122"/>
    <w:rsid w:val="00C80C0E"/>
    <w:rsid w:val="00CA0FD8"/>
    <w:rsid w:val="00CA2405"/>
    <w:rsid w:val="00CA7589"/>
    <w:rsid w:val="00CB1D4A"/>
    <w:rsid w:val="00CB7177"/>
    <w:rsid w:val="00CC344E"/>
    <w:rsid w:val="00CD12AD"/>
    <w:rsid w:val="00CD39C4"/>
    <w:rsid w:val="00CF50AE"/>
    <w:rsid w:val="00D112B3"/>
    <w:rsid w:val="00D2263A"/>
    <w:rsid w:val="00D346A4"/>
    <w:rsid w:val="00D517A0"/>
    <w:rsid w:val="00D7642D"/>
    <w:rsid w:val="00D82242"/>
    <w:rsid w:val="00D917A8"/>
    <w:rsid w:val="00D93C78"/>
    <w:rsid w:val="00DA1F2A"/>
    <w:rsid w:val="00DA3535"/>
    <w:rsid w:val="00DA55FD"/>
    <w:rsid w:val="00DB0344"/>
    <w:rsid w:val="00DB4D51"/>
    <w:rsid w:val="00DE45E3"/>
    <w:rsid w:val="00DE6F77"/>
    <w:rsid w:val="00DF1222"/>
    <w:rsid w:val="00E00397"/>
    <w:rsid w:val="00E126F5"/>
    <w:rsid w:val="00E16A40"/>
    <w:rsid w:val="00E26845"/>
    <w:rsid w:val="00E26F4B"/>
    <w:rsid w:val="00E3784F"/>
    <w:rsid w:val="00E611C4"/>
    <w:rsid w:val="00E860C5"/>
    <w:rsid w:val="00E87B68"/>
    <w:rsid w:val="00E97643"/>
    <w:rsid w:val="00EA1CB1"/>
    <w:rsid w:val="00EB1D63"/>
    <w:rsid w:val="00EB284F"/>
    <w:rsid w:val="00EB710E"/>
    <w:rsid w:val="00EE7736"/>
    <w:rsid w:val="00F10DB4"/>
    <w:rsid w:val="00F15B99"/>
    <w:rsid w:val="00F5726E"/>
    <w:rsid w:val="00F65755"/>
    <w:rsid w:val="00F80295"/>
    <w:rsid w:val="00FA18CC"/>
    <w:rsid w:val="00FA5106"/>
    <w:rsid w:val="00FB746F"/>
    <w:rsid w:val="00FC3840"/>
    <w:rsid w:val="00FC56B0"/>
    <w:rsid w:val="00FD1C14"/>
    <w:rsid w:val="00FD31DC"/>
    <w:rsid w:val="00FD7723"/>
    <w:rsid w:val="00FD7E2B"/>
    <w:rsid w:val="00FE7EC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85892F"/>
  <w15:chartTrackingRefBased/>
  <w15:docId w15:val="{567FD5BA-8896-494C-8871-27CADF36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32"/>
      <w:lang w:eastAsia="fr-FR"/>
    </w:rPr>
  </w:style>
  <w:style w:type="paragraph" w:styleId="Titre1">
    <w:name w:val="heading 1"/>
    <w:basedOn w:val="Normal"/>
    <w:next w:val="Normal"/>
    <w:qFormat/>
    <w:pPr>
      <w:keepNext/>
      <w:ind w:firstLine="2268"/>
      <w:jc w:val="both"/>
      <w:outlineLvl w:val="0"/>
    </w:pPr>
    <w:rPr>
      <w:rFonts w:ascii="Cooper Black" w:hAnsi="Cooper Black"/>
      <w:b/>
      <w:caps/>
      <w:sz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pPr>
      <w:framePr w:w="7938" w:h="1985" w:hRule="exact" w:hSpace="141" w:wrap="auto" w:hAnchor="page" w:xAlign="center" w:yAlign="bottom"/>
      <w:ind w:left="2835"/>
    </w:pPr>
    <w:rPr>
      <w:rFonts w:ascii="Univers Condensed" w:hAnsi="Univers Condensed"/>
      <w:spacing w:val="8"/>
      <w:sz w:val="36"/>
    </w:rPr>
  </w:style>
  <w:style w:type="paragraph" w:styleId="Adresseexpditeur">
    <w:name w:val="envelope return"/>
    <w:basedOn w:val="Normal"/>
    <w:rPr>
      <w:rFonts w:ascii="Abadi MT Condensed Light" w:hAnsi="Abadi MT Condensed Light"/>
      <w:b/>
      <w:spacing w:val="20"/>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p3">
    <w:name w:val="p3"/>
    <w:basedOn w:val="Normal"/>
    <w:pPr>
      <w:tabs>
        <w:tab w:val="left" w:pos="720"/>
      </w:tabs>
      <w:spacing w:line="240" w:lineRule="atLeast"/>
    </w:pPr>
    <w:rPr>
      <w:rFonts w:ascii="Times New Roman" w:hAnsi="Times New Roman"/>
      <w:sz w:val="24"/>
    </w:rPr>
  </w:style>
  <w:style w:type="paragraph" w:customStyle="1" w:styleId="t1">
    <w:name w:val="t1"/>
    <w:basedOn w:val="Normal"/>
    <w:pPr>
      <w:spacing w:line="240" w:lineRule="atLeast"/>
    </w:pPr>
    <w:rPr>
      <w:rFonts w:ascii="Times New Roman" w:hAnsi="Times New Roman"/>
      <w:sz w:val="24"/>
    </w:rPr>
  </w:style>
  <w:style w:type="paragraph" w:customStyle="1" w:styleId="t2">
    <w:name w:val="t2"/>
    <w:basedOn w:val="Normal"/>
    <w:pPr>
      <w:spacing w:line="240" w:lineRule="atLeast"/>
    </w:pPr>
    <w:rPr>
      <w:rFonts w:ascii="Times New Roman" w:hAnsi="Times New Roman"/>
      <w:sz w:val="24"/>
    </w:rPr>
  </w:style>
  <w:style w:type="paragraph" w:customStyle="1" w:styleId="p4">
    <w:name w:val="p4"/>
    <w:basedOn w:val="Normal"/>
    <w:pPr>
      <w:tabs>
        <w:tab w:val="left" w:pos="720"/>
      </w:tabs>
      <w:spacing w:line="220" w:lineRule="atLeast"/>
    </w:pPr>
    <w:rPr>
      <w:rFonts w:ascii="Times New Roman" w:hAnsi="Times New Roman"/>
      <w:sz w:val="24"/>
    </w:rPr>
  </w:style>
  <w:style w:type="paragraph" w:customStyle="1" w:styleId="t6">
    <w:name w:val="t6"/>
    <w:basedOn w:val="Normal"/>
    <w:pPr>
      <w:spacing w:line="240" w:lineRule="atLeast"/>
    </w:pPr>
    <w:rPr>
      <w:rFonts w:ascii="Times New Roman" w:hAnsi="Times New Roman"/>
      <w:sz w:val="24"/>
    </w:rPr>
  </w:style>
  <w:style w:type="paragraph" w:customStyle="1" w:styleId="p2">
    <w:name w:val="p2"/>
    <w:basedOn w:val="Normal"/>
    <w:pPr>
      <w:tabs>
        <w:tab w:val="left" w:pos="720"/>
      </w:tabs>
      <w:spacing w:line="240" w:lineRule="atLeast"/>
    </w:pPr>
    <w:rPr>
      <w:rFonts w:ascii="Times New Roman" w:hAnsi="Times New Roman"/>
      <w:sz w:val="24"/>
    </w:rPr>
  </w:style>
  <w:style w:type="paragraph" w:customStyle="1" w:styleId="c2">
    <w:name w:val="c2"/>
    <w:basedOn w:val="Normal"/>
    <w:pPr>
      <w:spacing w:line="240" w:lineRule="atLeast"/>
      <w:jc w:val="center"/>
    </w:pPr>
    <w:rPr>
      <w:rFonts w:ascii="Times New Roman" w:hAnsi="Times New Roman"/>
      <w:sz w:val="24"/>
    </w:rPr>
  </w:style>
  <w:style w:type="paragraph" w:customStyle="1" w:styleId="p1">
    <w:name w:val="p1"/>
    <w:basedOn w:val="Normal"/>
    <w:pPr>
      <w:tabs>
        <w:tab w:val="left" w:pos="720"/>
      </w:tabs>
      <w:spacing w:line="240" w:lineRule="atLeast"/>
    </w:pPr>
    <w:rPr>
      <w:rFonts w:ascii="Times New Roman" w:hAnsi="Times New Roman"/>
      <w:sz w:val="24"/>
    </w:rPr>
  </w:style>
  <w:style w:type="paragraph" w:customStyle="1" w:styleId="p5">
    <w:name w:val="p5"/>
    <w:basedOn w:val="Normal"/>
    <w:pPr>
      <w:tabs>
        <w:tab w:val="left" w:pos="720"/>
      </w:tabs>
      <w:spacing w:line="220" w:lineRule="atLeast"/>
    </w:pPr>
    <w:rPr>
      <w:rFonts w:ascii="Times New Roman" w:hAnsi="Times New Roman"/>
      <w:sz w:val="24"/>
    </w:rPr>
  </w:style>
  <w:style w:type="paragraph" w:customStyle="1" w:styleId="t5">
    <w:name w:val="t5"/>
    <w:basedOn w:val="Normal"/>
    <w:pPr>
      <w:spacing w:line="240" w:lineRule="atLeast"/>
    </w:pPr>
    <w:rPr>
      <w:rFonts w:ascii="Times New Roman" w:hAnsi="Times New Roman"/>
      <w:sz w:val="24"/>
    </w:rPr>
  </w:style>
  <w:style w:type="paragraph" w:customStyle="1" w:styleId="p6">
    <w:name w:val="p6"/>
    <w:basedOn w:val="Normal"/>
    <w:pPr>
      <w:tabs>
        <w:tab w:val="left" w:pos="720"/>
      </w:tabs>
      <w:spacing w:line="220" w:lineRule="atLeast"/>
    </w:pPr>
    <w:rPr>
      <w:rFonts w:ascii="Times New Roman" w:hAnsi="Times New Roman"/>
      <w:sz w:val="24"/>
    </w:rPr>
  </w:style>
  <w:style w:type="paragraph" w:customStyle="1" w:styleId="p8">
    <w:name w:val="p8"/>
    <w:basedOn w:val="Normal"/>
    <w:pPr>
      <w:tabs>
        <w:tab w:val="left" w:pos="4760"/>
      </w:tabs>
      <w:spacing w:line="240" w:lineRule="atLeast"/>
      <w:ind w:left="3312" w:hanging="4752"/>
    </w:pPr>
    <w:rPr>
      <w:rFonts w:ascii="Times New Roman" w:hAnsi="Times New Roman"/>
      <w:sz w:val="24"/>
    </w:rPr>
  </w:style>
  <w:style w:type="paragraph" w:customStyle="1" w:styleId="t9">
    <w:name w:val="t9"/>
    <w:basedOn w:val="Normal"/>
    <w:pPr>
      <w:spacing w:line="240" w:lineRule="atLeast"/>
    </w:pPr>
    <w:rPr>
      <w:rFonts w:ascii="Times New Roman" w:hAnsi="Times New Roman"/>
      <w:sz w:val="24"/>
    </w:rPr>
  </w:style>
  <w:style w:type="paragraph" w:customStyle="1" w:styleId="t3">
    <w:name w:val="t3"/>
    <w:basedOn w:val="Normal"/>
    <w:pPr>
      <w:spacing w:line="240" w:lineRule="atLeast"/>
    </w:pPr>
    <w:rPr>
      <w:rFonts w:ascii="Times New Roman" w:hAnsi="Times New Roman"/>
      <w:sz w:val="24"/>
    </w:rPr>
  </w:style>
  <w:style w:type="paragraph" w:customStyle="1" w:styleId="Texte">
    <w:name w:val="Texte"/>
    <w:pPr>
      <w:overflowPunct w:val="0"/>
      <w:autoSpaceDE w:val="0"/>
      <w:autoSpaceDN w:val="0"/>
      <w:adjustRightInd w:val="0"/>
      <w:textAlignment w:val="baseline"/>
    </w:pPr>
    <w:rPr>
      <w:color w:val="000000"/>
      <w:sz w:val="24"/>
      <w:lang w:val="fr-FR" w:eastAsia="fr-FR"/>
    </w:rPr>
  </w:style>
  <w:style w:type="character" w:styleId="Numrodepage">
    <w:name w:val="page number"/>
    <w:basedOn w:val="Policepardfaut"/>
  </w:style>
  <w:style w:type="paragraph" w:styleId="Textedebulles">
    <w:name w:val="Balloon Text"/>
    <w:basedOn w:val="Normal"/>
    <w:semiHidden/>
    <w:rsid w:val="00BA19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858733">
      <w:bodyDiv w:val="1"/>
      <w:marLeft w:val="0"/>
      <w:marRight w:val="0"/>
      <w:marTop w:val="0"/>
      <w:marBottom w:val="0"/>
      <w:divBdr>
        <w:top w:val="none" w:sz="0" w:space="0" w:color="auto"/>
        <w:left w:val="none" w:sz="0" w:space="0" w:color="auto"/>
        <w:bottom w:val="none" w:sz="0" w:space="0" w:color="auto"/>
        <w:right w:val="none" w:sz="0" w:space="0" w:color="auto"/>
      </w:divBdr>
    </w:div>
    <w:div w:id="438262261">
      <w:bodyDiv w:val="1"/>
      <w:marLeft w:val="0"/>
      <w:marRight w:val="0"/>
      <w:marTop w:val="0"/>
      <w:marBottom w:val="0"/>
      <w:divBdr>
        <w:top w:val="none" w:sz="0" w:space="0" w:color="auto"/>
        <w:left w:val="none" w:sz="0" w:space="0" w:color="auto"/>
        <w:bottom w:val="none" w:sz="0" w:space="0" w:color="auto"/>
        <w:right w:val="none" w:sz="0" w:space="0" w:color="auto"/>
      </w:divBdr>
    </w:div>
    <w:div w:id="990717771">
      <w:bodyDiv w:val="1"/>
      <w:marLeft w:val="0"/>
      <w:marRight w:val="0"/>
      <w:marTop w:val="0"/>
      <w:marBottom w:val="0"/>
      <w:divBdr>
        <w:top w:val="none" w:sz="0" w:space="0" w:color="auto"/>
        <w:left w:val="none" w:sz="0" w:space="0" w:color="auto"/>
        <w:bottom w:val="none" w:sz="0" w:space="0" w:color="auto"/>
        <w:right w:val="none" w:sz="0" w:space="0" w:color="auto"/>
      </w:divBdr>
    </w:div>
    <w:div w:id="1691100951">
      <w:bodyDiv w:val="1"/>
      <w:marLeft w:val="0"/>
      <w:marRight w:val="0"/>
      <w:marTop w:val="0"/>
      <w:marBottom w:val="0"/>
      <w:divBdr>
        <w:top w:val="none" w:sz="0" w:space="0" w:color="auto"/>
        <w:left w:val="none" w:sz="0" w:space="0" w:color="auto"/>
        <w:bottom w:val="none" w:sz="0" w:space="0" w:color="auto"/>
        <w:right w:val="none" w:sz="0" w:space="0" w:color="auto"/>
      </w:divBdr>
      <w:divsChild>
        <w:div w:id="622883631">
          <w:marLeft w:val="0"/>
          <w:marRight w:val="0"/>
          <w:marTop w:val="0"/>
          <w:marBottom w:val="0"/>
          <w:divBdr>
            <w:top w:val="none" w:sz="0" w:space="0" w:color="auto"/>
            <w:left w:val="none" w:sz="0" w:space="0" w:color="auto"/>
            <w:bottom w:val="none" w:sz="0" w:space="0" w:color="auto"/>
            <w:right w:val="none" w:sz="0" w:space="0" w:color="auto"/>
          </w:divBdr>
          <w:divsChild>
            <w:div w:id="1888255826">
              <w:marLeft w:val="0"/>
              <w:marRight w:val="0"/>
              <w:marTop w:val="0"/>
              <w:marBottom w:val="0"/>
              <w:divBdr>
                <w:top w:val="none" w:sz="0" w:space="0" w:color="auto"/>
                <w:left w:val="none" w:sz="0" w:space="0" w:color="auto"/>
                <w:bottom w:val="none" w:sz="0" w:space="0" w:color="auto"/>
                <w:right w:val="none" w:sz="0" w:space="0" w:color="auto"/>
              </w:divBdr>
              <w:divsChild>
                <w:div w:id="1567954905">
                  <w:marLeft w:val="0"/>
                  <w:marRight w:val="0"/>
                  <w:marTop w:val="0"/>
                  <w:marBottom w:val="0"/>
                  <w:divBdr>
                    <w:top w:val="none" w:sz="0" w:space="0" w:color="auto"/>
                    <w:left w:val="none" w:sz="0" w:space="0" w:color="auto"/>
                    <w:bottom w:val="none" w:sz="0" w:space="0" w:color="auto"/>
                    <w:right w:val="none" w:sz="0" w:space="0" w:color="auto"/>
                  </w:divBdr>
                  <w:divsChild>
                    <w:div w:id="1959142748">
                      <w:marLeft w:val="0"/>
                      <w:marRight w:val="0"/>
                      <w:marTop w:val="0"/>
                      <w:marBottom w:val="0"/>
                      <w:divBdr>
                        <w:top w:val="none" w:sz="0" w:space="0" w:color="auto"/>
                        <w:left w:val="none" w:sz="0" w:space="0" w:color="auto"/>
                        <w:bottom w:val="none" w:sz="0" w:space="0" w:color="auto"/>
                        <w:right w:val="none" w:sz="0" w:space="0" w:color="auto"/>
                      </w:divBdr>
                      <w:divsChild>
                        <w:div w:id="830604471">
                          <w:marLeft w:val="0"/>
                          <w:marRight w:val="0"/>
                          <w:marTop w:val="0"/>
                          <w:marBottom w:val="0"/>
                          <w:divBdr>
                            <w:top w:val="none" w:sz="0" w:space="0" w:color="auto"/>
                            <w:left w:val="none" w:sz="0" w:space="0" w:color="auto"/>
                            <w:bottom w:val="none" w:sz="0" w:space="0" w:color="auto"/>
                            <w:right w:val="none" w:sz="0" w:space="0" w:color="auto"/>
                          </w:divBdr>
                          <w:divsChild>
                            <w:div w:id="1855604323">
                              <w:marLeft w:val="0"/>
                              <w:marRight w:val="0"/>
                              <w:marTop w:val="0"/>
                              <w:marBottom w:val="0"/>
                              <w:divBdr>
                                <w:top w:val="none" w:sz="0" w:space="0" w:color="auto"/>
                                <w:left w:val="none" w:sz="0" w:space="0" w:color="auto"/>
                                <w:bottom w:val="none" w:sz="0" w:space="0" w:color="auto"/>
                                <w:right w:val="none" w:sz="0" w:space="0" w:color="auto"/>
                              </w:divBdr>
                              <w:divsChild>
                                <w:div w:id="213662603">
                                  <w:marLeft w:val="0"/>
                                  <w:marRight w:val="0"/>
                                  <w:marTop w:val="0"/>
                                  <w:marBottom w:val="0"/>
                                  <w:divBdr>
                                    <w:top w:val="none" w:sz="0" w:space="0" w:color="auto"/>
                                    <w:left w:val="none" w:sz="0" w:space="0" w:color="auto"/>
                                    <w:bottom w:val="none" w:sz="0" w:space="0" w:color="auto"/>
                                    <w:right w:val="none" w:sz="0" w:space="0" w:color="auto"/>
                                  </w:divBdr>
                                </w:div>
                              </w:divsChild>
                            </w:div>
                            <w:div w:id="1820003437">
                              <w:marLeft w:val="0"/>
                              <w:marRight w:val="0"/>
                              <w:marTop w:val="0"/>
                              <w:marBottom w:val="0"/>
                              <w:divBdr>
                                <w:top w:val="none" w:sz="0" w:space="0" w:color="auto"/>
                                <w:left w:val="none" w:sz="0" w:space="0" w:color="auto"/>
                                <w:bottom w:val="none" w:sz="0" w:space="0" w:color="auto"/>
                                <w:right w:val="none" w:sz="0" w:space="0" w:color="auto"/>
                              </w:divBdr>
                              <w:divsChild>
                                <w:div w:id="15665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81087">
          <w:marLeft w:val="0"/>
          <w:marRight w:val="0"/>
          <w:marTop w:val="0"/>
          <w:marBottom w:val="0"/>
          <w:divBdr>
            <w:top w:val="none" w:sz="0" w:space="0" w:color="auto"/>
            <w:left w:val="none" w:sz="0" w:space="0" w:color="auto"/>
            <w:bottom w:val="none" w:sz="0" w:space="0" w:color="auto"/>
            <w:right w:val="none" w:sz="0" w:space="0" w:color="auto"/>
          </w:divBdr>
          <w:divsChild>
            <w:div w:id="1887831584">
              <w:marLeft w:val="0"/>
              <w:marRight w:val="0"/>
              <w:marTop w:val="0"/>
              <w:marBottom w:val="0"/>
              <w:divBdr>
                <w:top w:val="none" w:sz="0" w:space="0" w:color="auto"/>
                <w:left w:val="none" w:sz="0" w:space="0" w:color="auto"/>
                <w:bottom w:val="none" w:sz="0" w:space="0" w:color="auto"/>
                <w:right w:val="none" w:sz="0" w:space="0" w:color="auto"/>
              </w:divBdr>
            </w:div>
          </w:divsChild>
        </w:div>
        <w:div w:id="1977832965">
          <w:marLeft w:val="0"/>
          <w:marRight w:val="0"/>
          <w:marTop w:val="0"/>
          <w:marBottom w:val="0"/>
          <w:divBdr>
            <w:top w:val="none" w:sz="0" w:space="0" w:color="auto"/>
            <w:left w:val="none" w:sz="0" w:space="0" w:color="auto"/>
            <w:bottom w:val="none" w:sz="0" w:space="0" w:color="auto"/>
            <w:right w:val="none" w:sz="0" w:space="0" w:color="auto"/>
          </w:divBdr>
          <w:divsChild>
            <w:div w:id="977346545">
              <w:marLeft w:val="0"/>
              <w:marRight w:val="0"/>
              <w:marTop w:val="0"/>
              <w:marBottom w:val="0"/>
              <w:divBdr>
                <w:top w:val="none" w:sz="0" w:space="0" w:color="auto"/>
                <w:left w:val="none" w:sz="0" w:space="0" w:color="auto"/>
                <w:bottom w:val="none" w:sz="0" w:space="0" w:color="auto"/>
                <w:right w:val="none" w:sz="0" w:space="0" w:color="auto"/>
              </w:divBdr>
            </w:div>
          </w:divsChild>
        </w:div>
        <w:div w:id="2097942922">
          <w:marLeft w:val="0"/>
          <w:marRight w:val="0"/>
          <w:marTop w:val="0"/>
          <w:marBottom w:val="0"/>
          <w:divBdr>
            <w:top w:val="none" w:sz="0" w:space="0" w:color="auto"/>
            <w:left w:val="none" w:sz="0" w:space="0" w:color="auto"/>
            <w:bottom w:val="none" w:sz="0" w:space="0" w:color="auto"/>
            <w:right w:val="none" w:sz="0" w:space="0" w:color="auto"/>
          </w:divBdr>
          <w:divsChild>
            <w:div w:id="1903363659">
              <w:marLeft w:val="0"/>
              <w:marRight w:val="0"/>
              <w:marTop w:val="0"/>
              <w:marBottom w:val="0"/>
              <w:divBdr>
                <w:top w:val="none" w:sz="0" w:space="0" w:color="auto"/>
                <w:left w:val="none" w:sz="0" w:space="0" w:color="auto"/>
                <w:bottom w:val="none" w:sz="0" w:space="0" w:color="auto"/>
                <w:right w:val="none" w:sz="0" w:space="0" w:color="auto"/>
              </w:divBdr>
              <w:divsChild>
                <w:div w:id="1822698779">
                  <w:marLeft w:val="0"/>
                  <w:marRight w:val="0"/>
                  <w:marTop w:val="0"/>
                  <w:marBottom w:val="0"/>
                  <w:divBdr>
                    <w:top w:val="none" w:sz="0" w:space="0" w:color="auto"/>
                    <w:left w:val="none" w:sz="0" w:space="0" w:color="auto"/>
                    <w:bottom w:val="none" w:sz="0" w:space="0" w:color="auto"/>
                    <w:right w:val="none" w:sz="0" w:space="0" w:color="auto"/>
                  </w:divBdr>
                  <w:divsChild>
                    <w:div w:id="53091322">
                      <w:marLeft w:val="0"/>
                      <w:marRight w:val="0"/>
                      <w:marTop w:val="0"/>
                      <w:marBottom w:val="0"/>
                      <w:divBdr>
                        <w:top w:val="none" w:sz="0" w:space="0" w:color="auto"/>
                        <w:left w:val="none" w:sz="0" w:space="0" w:color="auto"/>
                        <w:bottom w:val="none" w:sz="0" w:space="0" w:color="auto"/>
                        <w:right w:val="none" w:sz="0" w:space="0" w:color="auto"/>
                      </w:divBdr>
                      <w:divsChild>
                        <w:div w:id="1469589063">
                          <w:marLeft w:val="0"/>
                          <w:marRight w:val="0"/>
                          <w:marTop w:val="0"/>
                          <w:marBottom w:val="0"/>
                          <w:divBdr>
                            <w:top w:val="none" w:sz="0" w:space="0" w:color="auto"/>
                            <w:left w:val="none" w:sz="0" w:space="0" w:color="auto"/>
                            <w:bottom w:val="none" w:sz="0" w:space="0" w:color="auto"/>
                            <w:right w:val="none" w:sz="0" w:space="0" w:color="auto"/>
                          </w:divBdr>
                          <w:divsChild>
                            <w:div w:id="603340791">
                              <w:marLeft w:val="0"/>
                              <w:marRight w:val="0"/>
                              <w:marTop w:val="0"/>
                              <w:marBottom w:val="0"/>
                              <w:divBdr>
                                <w:top w:val="none" w:sz="0" w:space="0" w:color="auto"/>
                                <w:left w:val="none" w:sz="0" w:space="0" w:color="auto"/>
                                <w:bottom w:val="none" w:sz="0" w:space="0" w:color="auto"/>
                                <w:right w:val="none" w:sz="0" w:space="0" w:color="auto"/>
                              </w:divBdr>
                              <w:divsChild>
                                <w:div w:id="312150044">
                                  <w:marLeft w:val="0"/>
                                  <w:marRight w:val="0"/>
                                  <w:marTop w:val="0"/>
                                  <w:marBottom w:val="0"/>
                                  <w:divBdr>
                                    <w:top w:val="none" w:sz="0" w:space="0" w:color="auto"/>
                                    <w:left w:val="none" w:sz="0" w:space="0" w:color="auto"/>
                                    <w:bottom w:val="none" w:sz="0" w:space="0" w:color="auto"/>
                                    <w:right w:val="none" w:sz="0" w:space="0" w:color="auto"/>
                                  </w:divBdr>
                                </w:div>
                              </w:divsChild>
                            </w:div>
                            <w:div w:id="747656277">
                              <w:marLeft w:val="0"/>
                              <w:marRight w:val="0"/>
                              <w:marTop w:val="0"/>
                              <w:marBottom w:val="0"/>
                              <w:divBdr>
                                <w:top w:val="none" w:sz="0" w:space="0" w:color="auto"/>
                                <w:left w:val="none" w:sz="0" w:space="0" w:color="auto"/>
                                <w:bottom w:val="none" w:sz="0" w:space="0" w:color="auto"/>
                                <w:right w:val="none" w:sz="0" w:space="0" w:color="auto"/>
                              </w:divBdr>
                              <w:divsChild>
                                <w:div w:id="20433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416066">
                      <w:marLeft w:val="0"/>
                      <w:marRight w:val="0"/>
                      <w:marTop w:val="0"/>
                      <w:marBottom w:val="0"/>
                      <w:divBdr>
                        <w:top w:val="none" w:sz="0" w:space="0" w:color="auto"/>
                        <w:left w:val="none" w:sz="0" w:space="0" w:color="auto"/>
                        <w:bottom w:val="none" w:sz="0" w:space="0" w:color="auto"/>
                        <w:right w:val="none" w:sz="0" w:space="0" w:color="auto"/>
                      </w:divBdr>
                      <w:divsChild>
                        <w:div w:id="170525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242398">
          <w:marLeft w:val="0"/>
          <w:marRight w:val="0"/>
          <w:marTop w:val="0"/>
          <w:marBottom w:val="0"/>
          <w:divBdr>
            <w:top w:val="none" w:sz="0" w:space="0" w:color="auto"/>
            <w:left w:val="none" w:sz="0" w:space="0" w:color="auto"/>
            <w:bottom w:val="none" w:sz="0" w:space="0" w:color="auto"/>
            <w:right w:val="none" w:sz="0" w:space="0" w:color="auto"/>
          </w:divBdr>
          <w:divsChild>
            <w:div w:id="1879539143">
              <w:marLeft w:val="0"/>
              <w:marRight w:val="0"/>
              <w:marTop w:val="0"/>
              <w:marBottom w:val="0"/>
              <w:divBdr>
                <w:top w:val="none" w:sz="0" w:space="0" w:color="auto"/>
                <w:left w:val="none" w:sz="0" w:space="0" w:color="auto"/>
                <w:bottom w:val="none" w:sz="0" w:space="0" w:color="auto"/>
                <w:right w:val="none" w:sz="0" w:space="0" w:color="auto"/>
              </w:divBdr>
            </w:div>
          </w:divsChild>
        </w:div>
        <w:div w:id="1999377480">
          <w:marLeft w:val="0"/>
          <w:marRight w:val="0"/>
          <w:marTop w:val="0"/>
          <w:marBottom w:val="0"/>
          <w:divBdr>
            <w:top w:val="none" w:sz="0" w:space="0" w:color="auto"/>
            <w:left w:val="none" w:sz="0" w:space="0" w:color="auto"/>
            <w:bottom w:val="none" w:sz="0" w:space="0" w:color="auto"/>
            <w:right w:val="none" w:sz="0" w:space="0" w:color="auto"/>
          </w:divBdr>
          <w:divsChild>
            <w:div w:id="727844871">
              <w:marLeft w:val="0"/>
              <w:marRight w:val="0"/>
              <w:marTop w:val="0"/>
              <w:marBottom w:val="0"/>
              <w:divBdr>
                <w:top w:val="none" w:sz="0" w:space="0" w:color="auto"/>
                <w:left w:val="none" w:sz="0" w:space="0" w:color="auto"/>
                <w:bottom w:val="none" w:sz="0" w:space="0" w:color="auto"/>
                <w:right w:val="none" w:sz="0" w:space="0" w:color="auto"/>
              </w:divBdr>
            </w:div>
          </w:divsChild>
        </w:div>
        <w:div w:id="1472752276">
          <w:marLeft w:val="0"/>
          <w:marRight w:val="0"/>
          <w:marTop w:val="0"/>
          <w:marBottom w:val="0"/>
          <w:divBdr>
            <w:top w:val="none" w:sz="0" w:space="0" w:color="auto"/>
            <w:left w:val="none" w:sz="0" w:space="0" w:color="auto"/>
            <w:bottom w:val="none" w:sz="0" w:space="0" w:color="auto"/>
            <w:right w:val="none" w:sz="0" w:space="0" w:color="auto"/>
          </w:divBdr>
          <w:divsChild>
            <w:div w:id="41131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lusesmiss.org/wp/wp-content/uploads/2016/05/Ascension_du_Seigneur.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glise-orthodoxe-nantes.fr/les-12-grandes-fetes-orthodoxe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20Documents%20texte\Mod&#232;les\2.%20Liturgi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Liturgie</Template>
  <TotalTime>3</TotalTime>
  <Pages>4</Pages>
  <Words>1013</Words>
  <Characters>5575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Préparez le chemin du Seigneur</vt:lpstr>
    </vt:vector>
  </TitlesOfParts>
  <Company>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Préparez le chemin du Seigneur</dc:title>
  <dc:subject/>
  <dc:creator>Schubiger Bernard</dc:creator>
  <cp:keywords/>
  <dc:description/>
  <cp:lastModifiedBy>Schubiger Bernard</cp:lastModifiedBy>
  <cp:revision>1</cp:revision>
  <cp:lastPrinted>2011-04-02T13:19:00Z</cp:lastPrinted>
  <dcterms:created xsi:type="dcterms:W3CDTF">2024-04-10T14:57:00Z</dcterms:created>
  <dcterms:modified xsi:type="dcterms:W3CDTF">2024-04-10T15:01:00Z</dcterms:modified>
</cp:coreProperties>
</file>