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A28D8" w14:textId="77777777" w:rsidR="00FB12F7" w:rsidRPr="007F315B" w:rsidRDefault="00FB12F7" w:rsidP="00FB12F7">
      <w:pPr>
        <w:pBdr>
          <w:top w:val="single" w:sz="6" w:space="2" w:color="3494BA"/>
        </w:pBdr>
        <w:overflowPunct/>
        <w:autoSpaceDE/>
        <w:autoSpaceDN/>
        <w:adjustRightInd/>
        <w:spacing w:before="300"/>
        <w:textAlignment w:val="auto"/>
        <w:outlineLvl w:val="2"/>
        <w:rPr>
          <w:rFonts w:ascii="Trebuchet MS" w:hAnsi="Trebuchet MS"/>
          <w:caps/>
          <w:color w:val="1A495C"/>
          <w:spacing w:val="15"/>
          <w:sz w:val="22"/>
          <w:lang w:val="fr-CH" w:eastAsia="en-US"/>
        </w:rPr>
      </w:pPr>
      <w:bookmarkStart w:id="0" w:name="_Toc63946821"/>
      <w:r w:rsidRPr="007F315B">
        <w:rPr>
          <w:rFonts w:ascii="Trebuchet MS" w:hAnsi="Trebuchet MS"/>
          <w:caps/>
          <w:color w:val="1A495C"/>
          <w:spacing w:val="15"/>
          <w:sz w:val="22"/>
          <w:lang w:val="fr-CH" w:eastAsia="en-US"/>
        </w:rPr>
        <w:t xml:space="preserve">Vitraux de </w:t>
      </w:r>
      <w:proofErr w:type="spellStart"/>
      <w:r w:rsidRPr="007F315B">
        <w:rPr>
          <w:rFonts w:ascii="Trebuchet MS" w:hAnsi="Trebuchet MS"/>
          <w:caps/>
          <w:color w:val="1A495C"/>
          <w:spacing w:val="15"/>
          <w:sz w:val="22"/>
          <w:lang w:val="fr-CH" w:eastAsia="en-US"/>
        </w:rPr>
        <w:t>Mehoffer</w:t>
      </w:r>
      <w:bookmarkEnd w:id="0"/>
      <w:proofErr w:type="spellEnd"/>
    </w:p>
    <w:p w14:paraId="2A4DB6B8" w14:textId="77777777" w:rsidR="00FB12F7" w:rsidRPr="007F315B" w:rsidRDefault="00FB12F7" w:rsidP="00FB12F7">
      <w:pPr>
        <w:overflowPunct/>
        <w:autoSpaceDE/>
        <w:autoSpaceDN/>
        <w:adjustRightInd/>
        <w:spacing w:before="40" w:after="40"/>
        <w:jc w:val="both"/>
        <w:textAlignment w:val="auto"/>
        <w:rPr>
          <w:rFonts w:ascii="Trebuchet MS" w:hAnsi="Trebuchet MS"/>
          <w:sz w:val="22"/>
          <w:lang w:val="fr-CH" w:eastAsia="en-US"/>
        </w:rPr>
      </w:pPr>
      <w:r w:rsidRPr="007F315B">
        <w:rPr>
          <w:rFonts w:ascii="Times New Roman" w:hAnsi="Times New Roman"/>
          <w:b/>
          <w:bCs/>
          <w:noProof/>
          <w:sz w:val="20"/>
          <w:lang w:val="fr-CH" w:eastAsia="fr-CH"/>
        </w:rPr>
        <w:drawing>
          <wp:anchor distT="0" distB="0" distL="114300" distR="114300" simplePos="0" relativeHeight="251661312" behindDoc="1" locked="0" layoutInCell="1" allowOverlap="1" wp14:anchorId="0ACCA85E" wp14:editId="6863E0C2">
            <wp:simplePos x="0" y="0"/>
            <wp:positionH relativeFrom="column">
              <wp:posOffset>-150669</wp:posOffset>
            </wp:positionH>
            <wp:positionV relativeFrom="paragraph">
              <wp:posOffset>66361</wp:posOffset>
            </wp:positionV>
            <wp:extent cx="3454400" cy="6640830"/>
            <wp:effectExtent l="76200" t="38100" r="69850" b="45720"/>
            <wp:wrapSquare wrapText="bothSides"/>
            <wp:docPr id="192" name="Image 192" descr="I:\P. Photos\2. Pays - villes - pélé\Suisse\Frbourg églises\Fribourg Cathédrale S. Nicolas\Plan Vitraux J Mehofe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 Photos\2. Pays - villes - pélé\Suisse\Frbourg églises\Fribourg Cathédrale S. Nicolas\Plan Vitraux J Mehofer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0000">
                      <a:off x="0" y="0"/>
                      <a:ext cx="3454400" cy="664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15B">
        <w:rPr>
          <w:rFonts w:ascii="Trebuchet MS" w:hAnsi="Trebuchet MS"/>
          <w:sz w:val="22"/>
          <w:lang w:val="fr-CH" w:eastAsia="en-US"/>
        </w:rPr>
        <w:t>La Confrérie du St-Sacrement commande : une série de saints liés à la collégiale (en particulier les patrons des nombreux autels latéraux) et quelques scènes (St-Sacrement, Notre-Dame-de-la-Victoire, Adoration des Mages, etc.).</w:t>
      </w:r>
    </w:p>
    <w:p w14:paraId="026778EE" w14:textId="77777777" w:rsidR="00FB12F7" w:rsidRPr="007F315B" w:rsidRDefault="00FB12F7" w:rsidP="00FB12F7">
      <w:pPr>
        <w:overflowPunct/>
        <w:autoSpaceDE/>
        <w:autoSpaceDN/>
        <w:adjustRightInd/>
        <w:spacing w:before="40" w:after="40"/>
        <w:jc w:val="both"/>
        <w:textAlignment w:val="auto"/>
        <w:rPr>
          <w:rFonts w:ascii="Trebuchet MS" w:hAnsi="Trebuchet MS"/>
          <w:sz w:val="22"/>
          <w:lang w:val="fr-CH" w:eastAsia="en-US"/>
        </w:rPr>
      </w:pPr>
      <w:r w:rsidRPr="007F315B">
        <w:rPr>
          <w:rFonts w:ascii="Trebuchet MS" w:hAnsi="Trebuchet MS"/>
          <w:sz w:val="22"/>
          <w:lang w:val="fr-CH" w:eastAsia="en-US"/>
        </w:rPr>
        <w:t xml:space="preserve">La création des huit fenêtres de la nef (120 m2), complétée en 1906 par une commande pour les cinq fenêtres du chœur (124 m2), s'étalera sur près de 40 ans, de 1895 à 1936 ; l'entreprise fribourgeoise Kirsch et </w:t>
      </w:r>
      <w:proofErr w:type="spellStart"/>
      <w:r w:rsidRPr="007F315B">
        <w:rPr>
          <w:rFonts w:ascii="Trebuchet MS" w:hAnsi="Trebuchet MS"/>
          <w:sz w:val="22"/>
          <w:lang w:val="fr-CH" w:eastAsia="en-US"/>
        </w:rPr>
        <w:t>Fleckner</w:t>
      </w:r>
      <w:proofErr w:type="spellEnd"/>
      <w:r w:rsidRPr="007F315B">
        <w:rPr>
          <w:rFonts w:ascii="Trebuchet MS" w:hAnsi="Trebuchet MS"/>
          <w:sz w:val="22"/>
          <w:lang w:val="fr-CH" w:eastAsia="en-US"/>
        </w:rPr>
        <w:t xml:space="preserve"> assurera la réalisation des cartons de </w:t>
      </w:r>
      <w:proofErr w:type="spellStart"/>
      <w:r w:rsidRPr="007F315B">
        <w:rPr>
          <w:rFonts w:ascii="Trebuchet MS" w:hAnsi="Trebuchet MS"/>
          <w:sz w:val="22"/>
          <w:lang w:val="fr-CH" w:eastAsia="en-US"/>
        </w:rPr>
        <w:t>Mehoffer</w:t>
      </w:r>
      <w:proofErr w:type="spellEnd"/>
      <w:r w:rsidRPr="007F315B">
        <w:rPr>
          <w:rFonts w:ascii="Trebuchet MS" w:hAnsi="Trebuchet MS"/>
          <w:sz w:val="22"/>
          <w:lang w:val="fr-CH" w:eastAsia="en-US"/>
        </w:rPr>
        <w:t xml:space="preserve">. Il s'agit d'un des ensembles Art nouveau les plus importants au monde. </w:t>
      </w:r>
    </w:p>
    <w:p w14:paraId="5696EBE5" w14:textId="77777777" w:rsidR="00FB12F7" w:rsidRDefault="00FB12F7" w:rsidP="00FB12F7">
      <w:pPr>
        <w:pStyle w:val="Texte"/>
        <w:rPr>
          <w:rFonts w:ascii="Verdana" w:hAnsi="Verdana"/>
          <w:szCs w:val="24"/>
        </w:rPr>
      </w:pPr>
    </w:p>
    <w:p w14:paraId="76E49B30" w14:textId="77777777" w:rsidR="00FB12F7" w:rsidRPr="007F315B" w:rsidRDefault="00FB12F7" w:rsidP="00FB12F7">
      <w:pPr>
        <w:pStyle w:val="Texte"/>
        <w:rPr>
          <w:rFonts w:ascii="Verdana" w:hAnsi="Verdana"/>
          <w:szCs w:val="24"/>
        </w:rPr>
      </w:pPr>
      <w:proofErr w:type="spellStart"/>
      <w:r w:rsidRPr="007F315B">
        <w:rPr>
          <w:rFonts w:ascii="Verdana" w:hAnsi="Verdana"/>
          <w:b/>
          <w:bCs/>
          <w:szCs w:val="24"/>
        </w:rPr>
        <w:t>Józef</w:t>
      </w:r>
      <w:proofErr w:type="spellEnd"/>
      <w:r w:rsidRPr="007F315B">
        <w:rPr>
          <w:rFonts w:ascii="Verdana" w:hAnsi="Verdana"/>
          <w:b/>
          <w:bCs/>
          <w:szCs w:val="24"/>
        </w:rPr>
        <w:t xml:space="preserve"> </w:t>
      </w:r>
      <w:proofErr w:type="spellStart"/>
      <w:r w:rsidRPr="007F315B">
        <w:rPr>
          <w:rFonts w:ascii="Verdana" w:hAnsi="Verdana"/>
          <w:b/>
          <w:bCs/>
          <w:szCs w:val="24"/>
        </w:rPr>
        <w:t>Mehoffer</w:t>
      </w:r>
      <w:proofErr w:type="spellEnd"/>
      <w:r w:rsidRPr="007F315B">
        <w:rPr>
          <w:rFonts w:ascii="Verdana" w:hAnsi="Verdana"/>
          <w:szCs w:val="24"/>
        </w:rPr>
        <w:t xml:space="preserve"> (1869-1946), peintre et graphiste de 26 ans encore inconnu, qu’en 1895 le jury décerna le premier prix d’un concours international pour la création des fenêtres. Durant les 41 années entre 1895 et 1936, un atelier de Fribourg produisit 21 vitraux monumentaux d’après les plans de </w:t>
      </w:r>
      <w:proofErr w:type="spellStart"/>
      <w:r w:rsidRPr="007F315B">
        <w:rPr>
          <w:rFonts w:ascii="Verdana" w:hAnsi="Verdana"/>
          <w:szCs w:val="24"/>
        </w:rPr>
        <w:t>Mehoffer</w:t>
      </w:r>
      <w:proofErr w:type="spellEnd"/>
      <w:r w:rsidRPr="007F315B">
        <w:rPr>
          <w:rFonts w:ascii="Verdana" w:hAnsi="Verdana"/>
          <w:szCs w:val="24"/>
        </w:rPr>
        <w:t>. Ils représentent un exemple unique de l’art sacré de l’époque Art nouveau.</w:t>
      </w:r>
    </w:p>
    <w:p w14:paraId="3B227FF7" w14:textId="77777777" w:rsidR="00FB12F7" w:rsidRDefault="00FB12F7" w:rsidP="00FB12F7">
      <w:pPr>
        <w:pStyle w:val="Texte"/>
        <w:rPr>
          <w:rFonts w:ascii="Verdana" w:hAnsi="Verdana"/>
          <w:szCs w:val="24"/>
        </w:rPr>
      </w:pPr>
      <w:r w:rsidRPr="007F315B">
        <w:rPr>
          <w:rFonts w:ascii="Verdana" w:hAnsi="Verdana"/>
          <w:szCs w:val="24"/>
        </w:rPr>
        <w:t xml:space="preserve">En y regardant de plus près, on s’aperçoit même que </w:t>
      </w:r>
      <w:proofErr w:type="spellStart"/>
      <w:r w:rsidRPr="007F315B">
        <w:rPr>
          <w:rFonts w:ascii="Verdana" w:hAnsi="Verdana"/>
          <w:szCs w:val="24"/>
        </w:rPr>
        <w:t>Mehoffer</w:t>
      </w:r>
      <w:proofErr w:type="spellEnd"/>
      <w:r w:rsidRPr="007F315B">
        <w:rPr>
          <w:rFonts w:ascii="Verdana" w:hAnsi="Verdana"/>
          <w:szCs w:val="24"/>
        </w:rPr>
        <w:t xml:space="preserve"> a apporté un morceau de son pays natal à Fribourg : Des détails stylisés de la silhouette de la ville médiévale de Cracovie sont visibles sur deux des fenêtres. Né à Ropczyce dans les Carpates, </w:t>
      </w:r>
      <w:proofErr w:type="spellStart"/>
      <w:r w:rsidRPr="007F315B">
        <w:rPr>
          <w:rFonts w:ascii="Verdana" w:hAnsi="Verdana"/>
          <w:szCs w:val="24"/>
        </w:rPr>
        <w:t>Mehoffer</w:t>
      </w:r>
      <w:proofErr w:type="spellEnd"/>
      <w:r w:rsidRPr="007F315B">
        <w:rPr>
          <w:rFonts w:ascii="Verdana" w:hAnsi="Verdana"/>
          <w:szCs w:val="24"/>
        </w:rPr>
        <w:t xml:space="preserve"> a étudié à l’Académie des Beaux-Arts de Cracovie et y a été professeur. Il est considéré comme l’un des artistes les plus importants de la « Jeune Pologne », variante polonaise de l’Art nouveau.</w:t>
      </w:r>
    </w:p>
    <w:p w14:paraId="35940691" w14:textId="77777777" w:rsidR="00FB12F7" w:rsidRDefault="00FB12F7" w:rsidP="00FB12F7">
      <w:pPr>
        <w:pStyle w:val="Texte"/>
        <w:rPr>
          <w:rFonts w:ascii="Verdana" w:hAnsi="Verdana"/>
          <w:szCs w:val="24"/>
        </w:rPr>
      </w:pPr>
    </w:p>
    <w:p w14:paraId="414B5953" w14:textId="77777777" w:rsidR="00FB12F7" w:rsidRPr="00FB12F7" w:rsidRDefault="00FB12F7" w:rsidP="00FB12F7">
      <w:pPr>
        <w:overflowPunct/>
        <w:autoSpaceDE/>
        <w:autoSpaceDN/>
        <w:adjustRightInd/>
        <w:spacing w:before="40" w:after="40"/>
        <w:contextualSpacing/>
        <w:jc w:val="both"/>
        <w:textAlignment w:val="auto"/>
        <w:rPr>
          <w:rFonts w:ascii="Trebuchet MS" w:hAnsi="Trebuchet MS"/>
          <w:sz w:val="22"/>
          <w:lang w:val="fr-CH" w:eastAsia="en-US"/>
        </w:rPr>
      </w:pPr>
      <w:bookmarkStart w:id="1" w:name="_Hlk79492496"/>
      <w:r w:rsidRPr="00FB12F7">
        <w:rPr>
          <w:rFonts w:ascii="Trebuchet MS" w:hAnsi="Trebuchet MS"/>
          <w:b/>
          <w:sz w:val="22"/>
          <w:lang w:val="fr-CH" w:eastAsia="en-US"/>
        </w:rPr>
        <w:t>Fenêtre de l'Eucharistie</w:t>
      </w:r>
      <w:r w:rsidRPr="00FB12F7">
        <w:rPr>
          <w:rFonts w:ascii="Trebuchet MS" w:hAnsi="Trebuchet MS"/>
          <w:sz w:val="22"/>
          <w:lang w:val="fr-CH" w:eastAsia="en-US"/>
        </w:rPr>
        <w:t xml:space="preserve"> (1° chapelle de droite, 1898-1901). Il s'agit d'une commande de la Confrérie du St-Sacrement, qui a lancé le concours.</w:t>
      </w:r>
      <w:r w:rsidRPr="00FB12F7">
        <w:rPr>
          <w:rFonts w:ascii="Trebuchet MS" w:hAnsi="Trebuchet MS"/>
          <w:sz w:val="22"/>
          <w:lang w:val="fr-CH" w:eastAsia="en-US"/>
        </w:rPr>
        <w:tab/>
        <w:t xml:space="preserve"> </w:t>
      </w:r>
    </w:p>
    <w:p w14:paraId="02AE8EF6" w14:textId="77777777" w:rsidR="00FB12F7" w:rsidRPr="00FB12F7" w:rsidRDefault="00FB12F7" w:rsidP="00FB12F7">
      <w:pPr>
        <w:overflowPunct/>
        <w:autoSpaceDE/>
        <w:autoSpaceDN/>
        <w:adjustRightInd/>
        <w:spacing w:before="40" w:after="40"/>
        <w:ind w:left="360"/>
        <w:contextualSpacing/>
        <w:jc w:val="both"/>
        <w:textAlignment w:val="auto"/>
        <w:rPr>
          <w:rFonts w:ascii="Trebuchet MS" w:hAnsi="Trebuchet MS"/>
          <w:sz w:val="22"/>
          <w:lang w:val="fr-CH" w:eastAsia="en-US"/>
        </w:rPr>
      </w:pPr>
      <w:r w:rsidRPr="00FB12F7">
        <w:rPr>
          <w:rFonts w:ascii="Trebuchet MS" w:hAnsi="Trebuchet MS"/>
          <w:b/>
          <w:sz w:val="22"/>
          <w:lang w:val="fr-CH" w:eastAsia="en-US"/>
        </w:rPr>
        <w:t>À droite</w:t>
      </w:r>
      <w:r w:rsidRPr="00FB12F7">
        <w:rPr>
          <w:rFonts w:ascii="Trebuchet MS" w:hAnsi="Trebuchet MS"/>
          <w:sz w:val="22"/>
          <w:lang w:val="fr-CH" w:eastAsia="en-US"/>
        </w:rPr>
        <w:t xml:space="preserve"> figure </w:t>
      </w:r>
      <w:r w:rsidRPr="00FB12F7">
        <w:rPr>
          <w:rFonts w:ascii="Trebuchet MS" w:hAnsi="Trebuchet MS"/>
          <w:b/>
          <w:sz w:val="22"/>
          <w:lang w:val="fr-CH" w:eastAsia="en-US"/>
        </w:rPr>
        <w:t xml:space="preserve">le sacrifice sur la croix </w:t>
      </w:r>
      <w:r w:rsidRPr="00FB12F7">
        <w:rPr>
          <w:rFonts w:ascii="Trebuchet MS" w:hAnsi="Trebuchet MS"/>
          <w:sz w:val="22"/>
          <w:lang w:val="fr-CH" w:eastAsia="en-US"/>
        </w:rPr>
        <w:t xml:space="preserve">du Christ, porté par deux anges : </w:t>
      </w:r>
      <w:r w:rsidRPr="00FB12F7">
        <w:rPr>
          <w:rFonts w:ascii="Trebuchet MS" w:hAnsi="Trebuchet MS"/>
          <w:b/>
          <w:sz w:val="22"/>
          <w:lang w:val="fr-CH" w:eastAsia="en-US"/>
        </w:rPr>
        <w:t>l'Église recueille son Précieux Sang dans une coupe</w:t>
      </w:r>
      <w:r w:rsidRPr="00FB12F7">
        <w:rPr>
          <w:rFonts w:ascii="Trebuchet MS" w:hAnsi="Trebuchet MS"/>
          <w:sz w:val="22"/>
          <w:lang w:val="fr-CH" w:eastAsia="en-US"/>
        </w:rPr>
        <w:t xml:space="preserve"> ;</w:t>
      </w:r>
      <w:r w:rsidRPr="00FB12F7">
        <w:rPr>
          <w:rFonts w:ascii="Trebuchet MS" w:hAnsi="Trebuchet MS"/>
          <w:sz w:val="22"/>
          <w:lang w:val="fr-CH" w:eastAsia="en-US"/>
        </w:rPr>
        <w:tab/>
        <w:t xml:space="preserve"> </w:t>
      </w:r>
    </w:p>
    <w:p w14:paraId="7DAF239E" w14:textId="77777777" w:rsidR="00FB12F7" w:rsidRPr="00FB12F7" w:rsidRDefault="00FB12F7" w:rsidP="00FB12F7">
      <w:pPr>
        <w:overflowPunct/>
        <w:autoSpaceDE/>
        <w:autoSpaceDN/>
        <w:adjustRightInd/>
        <w:spacing w:before="40" w:after="40"/>
        <w:ind w:left="360"/>
        <w:contextualSpacing/>
        <w:jc w:val="both"/>
        <w:textAlignment w:val="auto"/>
        <w:rPr>
          <w:rFonts w:ascii="Trebuchet MS" w:hAnsi="Trebuchet MS"/>
          <w:sz w:val="22"/>
          <w:lang w:val="fr-CH" w:eastAsia="en-US"/>
        </w:rPr>
      </w:pPr>
      <w:proofErr w:type="spellStart"/>
      <w:r w:rsidRPr="00FB12F7">
        <w:rPr>
          <w:rFonts w:ascii="Trebuchet MS" w:hAnsi="Trebuchet MS"/>
          <w:b/>
          <w:sz w:val="22"/>
          <w:lang w:val="fr-CH" w:eastAsia="en-US"/>
        </w:rPr>
        <w:lastRenderedPageBreak/>
        <w:t>A</w:t>
      </w:r>
      <w:proofErr w:type="spellEnd"/>
      <w:r w:rsidRPr="00FB12F7">
        <w:rPr>
          <w:rFonts w:ascii="Trebuchet MS" w:hAnsi="Trebuchet MS"/>
          <w:b/>
          <w:sz w:val="22"/>
          <w:lang w:val="fr-CH" w:eastAsia="en-US"/>
        </w:rPr>
        <w:t xml:space="preserve"> gauche</w:t>
      </w:r>
      <w:r w:rsidRPr="00FB12F7">
        <w:rPr>
          <w:rFonts w:ascii="Trebuchet MS" w:hAnsi="Trebuchet MS"/>
          <w:sz w:val="22"/>
          <w:lang w:val="fr-CH" w:eastAsia="en-US"/>
        </w:rPr>
        <w:t xml:space="preserve">, une </w:t>
      </w:r>
      <w:r w:rsidRPr="00FB12F7">
        <w:rPr>
          <w:rFonts w:ascii="Trebuchet MS" w:hAnsi="Trebuchet MS"/>
          <w:b/>
          <w:sz w:val="22"/>
          <w:lang w:val="fr-CH" w:eastAsia="en-US"/>
        </w:rPr>
        <w:t>adoration du St Sacrement</w:t>
      </w:r>
      <w:r w:rsidRPr="00FB12F7">
        <w:rPr>
          <w:rFonts w:ascii="Trebuchet MS" w:hAnsi="Trebuchet MS"/>
          <w:sz w:val="22"/>
          <w:lang w:val="fr-CH" w:eastAsia="en-US"/>
        </w:rPr>
        <w:t xml:space="preserve"> dans le sacrifice eucharistique, devant une </w:t>
      </w:r>
      <w:r w:rsidRPr="00FB12F7">
        <w:rPr>
          <w:rFonts w:ascii="Trebuchet MS" w:hAnsi="Trebuchet MS"/>
          <w:b/>
          <w:sz w:val="22"/>
          <w:lang w:val="fr-CH" w:eastAsia="en-US"/>
        </w:rPr>
        <w:t>jeune fille figurant la vertu théologale de foi</w:t>
      </w:r>
      <w:r w:rsidRPr="00FB12F7">
        <w:rPr>
          <w:rFonts w:ascii="Trebuchet MS" w:hAnsi="Trebuchet MS"/>
          <w:sz w:val="22"/>
          <w:lang w:val="fr-CH" w:eastAsia="en-US"/>
        </w:rPr>
        <w:t xml:space="preserve"> et une procession d'anges thuriféraires. Un </w:t>
      </w:r>
      <w:r w:rsidRPr="00FB12F7">
        <w:rPr>
          <w:rFonts w:ascii="Trebuchet MS" w:hAnsi="Trebuchet MS"/>
          <w:b/>
          <w:sz w:val="22"/>
          <w:lang w:val="fr-CH" w:eastAsia="en-US"/>
        </w:rPr>
        <w:t>bouc</w:t>
      </w:r>
      <w:r w:rsidRPr="00FB12F7">
        <w:rPr>
          <w:rFonts w:ascii="Trebuchet MS" w:hAnsi="Trebuchet MS"/>
          <w:sz w:val="22"/>
          <w:lang w:val="fr-CH" w:eastAsia="en-US"/>
        </w:rPr>
        <w:t xml:space="preserve"> pris dans un</w:t>
      </w:r>
      <w:r w:rsidRPr="00FB12F7">
        <w:rPr>
          <w:rFonts w:ascii="Trebuchet MS" w:hAnsi="Trebuchet MS"/>
          <w:b/>
          <w:sz w:val="22"/>
          <w:lang w:val="fr-CH" w:eastAsia="en-US"/>
        </w:rPr>
        <w:t xml:space="preserve"> buisson d'épines</w:t>
      </w:r>
      <w:r w:rsidRPr="00FB12F7">
        <w:rPr>
          <w:rFonts w:ascii="Trebuchet MS" w:hAnsi="Trebuchet MS"/>
          <w:sz w:val="22"/>
          <w:lang w:val="fr-CH" w:eastAsia="en-US"/>
        </w:rPr>
        <w:t xml:space="preserve"> fait référence au </w:t>
      </w:r>
      <w:r w:rsidRPr="00FB12F7">
        <w:rPr>
          <w:rFonts w:ascii="Trebuchet MS" w:hAnsi="Trebuchet MS"/>
          <w:b/>
          <w:sz w:val="22"/>
          <w:lang w:val="fr-CH" w:eastAsia="en-US"/>
        </w:rPr>
        <w:t>sacrifice d'Isaac</w:t>
      </w:r>
      <w:r w:rsidRPr="00FB12F7">
        <w:rPr>
          <w:rFonts w:ascii="Trebuchet MS" w:hAnsi="Trebuchet MS"/>
          <w:sz w:val="22"/>
          <w:lang w:val="fr-CH" w:eastAsia="en-US"/>
        </w:rPr>
        <w:t xml:space="preserve">, figure du sacrifice du Christ. </w:t>
      </w:r>
    </w:p>
    <w:p w14:paraId="42F663B4" w14:textId="77777777" w:rsidR="00FB12F7" w:rsidRPr="00FB12F7" w:rsidRDefault="00FB12F7" w:rsidP="00FB12F7">
      <w:pPr>
        <w:overflowPunct/>
        <w:autoSpaceDE/>
        <w:autoSpaceDN/>
        <w:adjustRightInd/>
        <w:spacing w:before="40" w:after="40"/>
        <w:ind w:left="360"/>
        <w:contextualSpacing/>
        <w:jc w:val="both"/>
        <w:textAlignment w:val="auto"/>
        <w:rPr>
          <w:rFonts w:ascii="Trebuchet MS" w:hAnsi="Trebuchet MS"/>
          <w:sz w:val="22"/>
          <w:lang w:val="fr-CH" w:eastAsia="en-US"/>
        </w:rPr>
      </w:pPr>
    </w:p>
    <w:bookmarkEnd w:id="1"/>
    <w:p w14:paraId="139A8467" w14:textId="77777777" w:rsidR="00FB12F7" w:rsidRPr="00FB12F7" w:rsidRDefault="00FB12F7">
      <w:pPr>
        <w:overflowPunct/>
        <w:autoSpaceDE/>
        <w:autoSpaceDN/>
        <w:adjustRightInd/>
        <w:textAlignment w:val="auto"/>
        <w:rPr>
          <w:rFonts w:ascii="Verdana" w:hAnsi="Verdana"/>
          <w:szCs w:val="24"/>
          <w:lang w:val="fr-CH"/>
        </w:rPr>
      </w:pPr>
    </w:p>
    <w:p w14:paraId="2792E596" w14:textId="497E76A5" w:rsidR="00FB12F7" w:rsidRPr="00FB12F7" w:rsidRDefault="00FB12F7">
      <w:pPr>
        <w:overflowPunct/>
        <w:autoSpaceDE/>
        <w:autoSpaceDN/>
        <w:adjustRightInd/>
        <w:textAlignment w:val="auto"/>
        <w:rPr>
          <w:rFonts w:ascii="Verdana" w:hAnsi="Verdana"/>
          <w:color w:val="000000"/>
          <w:sz w:val="24"/>
          <w:szCs w:val="24"/>
          <w:lang w:val="fr-CH"/>
        </w:rPr>
      </w:pPr>
      <w:r w:rsidRPr="00FB12F7">
        <w:rPr>
          <w:rFonts w:ascii="Verdana" w:hAnsi="Verdana"/>
          <w:szCs w:val="24"/>
          <w:lang w:val="fr-CH"/>
        </w:rPr>
        <w:br w:type="page"/>
      </w:r>
    </w:p>
    <w:p w14:paraId="36111ABF" w14:textId="010B3F95" w:rsidR="00647168" w:rsidRPr="00FB12F7" w:rsidRDefault="00FB12F7" w:rsidP="00D82242">
      <w:pPr>
        <w:pStyle w:val="Texte"/>
        <w:jc w:val="both"/>
        <w:rPr>
          <w:rFonts w:ascii="Verdana" w:hAnsi="Verdana"/>
          <w:szCs w:val="24"/>
          <w:lang w:val="fr-CH"/>
        </w:rPr>
      </w:pPr>
      <w:r>
        <w:rPr>
          <w:noProof/>
        </w:rPr>
        <w:lastRenderedPageBreak/>
        <w:drawing>
          <wp:anchor distT="0" distB="0" distL="114300" distR="114300" simplePos="0" relativeHeight="251659264" behindDoc="0" locked="0" layoutInCell="1" allowOverlap="1" wp14:anchorId="12A77C6A" wp14:editId="314A0E16">
            <wp:simplePos x="0" y="0"/>
            <wp:positionH relativeFrom="column">
              <wp:posOffset>-24130</wp:posOffset>
            </wp:positionH>
            <wp:positionV relativeFrom="paragraph">
              <wp:posOffset>16510</wp:posOffset>
            </wp:positionV>
            <wp:extent cx="4477385" cy="8662670"/>
            <wp:effectExtent l="0" t="0" r="0" b="508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7385" cy="866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BDCB0" w14:textId="72A9B4C0" w:rsidR="00D82242" w:rsidRPr="00FB12F7" w:rsidRDefault="00D82242" w:rsidP="00D82242">
      <w:pPr>
        <w:pStyle w:val="Texte"/>
        <w:jc w:val="both"/>
        <w:rPr>
          <w:rFonts w:ascii="Verdana" w:hAnsi="Verdana"/>
          <w:szCs w:val="24"/>
          <w:lang w:val="fr-CH"/>
        </w:rPr>
      </w:pPr>
    </w:p>
    <w:sectPr w:rsidR="00D82242" w:rsidRPr="00FB12F7">
      <w:headerReference w:type="default" r:id="rId9"/>
      <w:footerReference w:type="default" r:id="rId10"/>
      <w:type w:val="continuous"/>
      <w:pgSz w:w="11907" w:h="16834" w:code="9"/>
      <w:pgMar w:top="1134" w:right="1134" w:bottom="1134" w:left="1134" w:header="805"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B923E" w14:textId="77777777" w:rsidR="00F364FD" w:rsidRDefault="00F364FD">
      <w:r>
        <w:separator/>
      </w:r>
    </w:p>
  </w:endnote>
  <w:endnote w:type="continuationSeparator" w:id="0">
    <w:p w14:paraId="6E00E26F" w14:textId="77777777" w:rsidR="00F364FD" w:rsidRDefault="00F36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Univers Condensed">
    <w:charset w:val="00"/>
    <w:family w:val="swiss"/>
    <w:pitch w:val="variable"/>
    <w:sig w:usb0="80000287" w:usb1="00000000" w:usb2="00000000" w:usb3="00000000" w:csb0="0000009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2044" w14:textId="77777777" w:rsidR="00B5271F" w:rsidRDefault="00B5271F">
    <w:pPr>
      <w:pStyle w:val="Pieddepage"/>
      <w:jc w:val="center"/>
      <w:rPr>
        <w:b/>
      </w:rPr>
    </w:pPr>
    <w:r>
      <w:rPr>
        <w:rStyle w:val="Numrodepage"/>
        <w:b/>
      </w:rPr>
      <w:fldChar w:fldCharType="begin"/>
    </w:r>
    <w:r>
      <w:rPr>
        <w:rStyle w:val="Numrodepage"/>
        <w:b/>
      </w:rPr>
      <w:instrText xml:space="preserve"> PAGE </w:instrText>
    </w:r>
    <w:r>
      <w:rPr>
        <w:rStyle w:val="Numrodepage"/>
        <w:b/>
      </w:rPr>
      <w:fldChar w:fldCharType="separate"/>
    </w:r>
    <w:r>
      <w:rPr>
        <w:rStyle w:val="Numrodepage"/>
        <w:b/>
        <w:noProof/>
      </w:rPr>
      <w:t>1</w:t>
    </w:r>
    <w:r>
      <w:rPr>
        <w:rStyle w:val="Numrodepage"/>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EDECA" w14:textId="77777777" w:rsidR="00F364FD" w:rsidRDefault="00F364FD">
      <w:r>
        <w:separator/>
      </w:r>
    </w:p>
  </w:footnote>
  <w:footnote w:type="continuationSeparator" w:id="0">
    <w:p w14:paraId="63E871EB" w14:textId="77777777" w:rsidR="00F364FD" w:rsidRDefault="00F36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7ABC4" w14:textId="273F6C68" w:rsidR="00B5271F" w:rsidRDefault="00D14333">
    <w:pPr>
      <w:pStyle w:val="En-tte"/>
    </w:pPr>
    <w:r>
      <w:rPr>
        <w:b/>
        <w:sz w:val="28"/>
      </w:rPr>
      <w:t>Eucharistie Cathédrale S. Nicolas Fribourg</w:t>
    </w:r>
  </w:p>
  <w:p w14:paraId="3205606F" w14:textId="77777777" w:rsidR="00B5271F" w:rsidRDefault="00B5271F">
    <w:pPr>
      <w:pStyle w:val="En-tte"/>
      <w:pBdr>
        <w:top w:val="single"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528D9"/>
    <w:multiLevelType w:val="hybridMultilevel"/>
    <w:tmpl w:val="C946FDCA"/>
    <w:lvl w:ilvl="0" w:tplc="80ACABD8">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333"/>
    <w:rsid w:val="00003293"/>
    <w:rsid w:val="00003E43"/>
    <w:rsid w:val="00044F49"/>
    <w:rsid w:val="000A5C23"/>
    <w:rsid w:val="000C4403"/>
    <w:rsid w:val="000E29C3"/>
    <w:rsid w:val="000F3122"/>
    <w:rsid w:val="00113C72"/>
    <w:rsid w:val="00125BC0"/>
    <w:rsid w:val="00153999"/>
    <w:rsid w:val="001621D9"/>
    <w:rsid w:val="0018713C"/>
    <w:rsid w:val="001871E4"/>
    <w:rsid w:val="00193250"/>
    <w:rsid w:val="001A2AA2"/>
    <w:rsid w:val="001C2465"/>
    <w:rsid w:val="001C4637"/>
    <w:rsid w:val="001D3CBB"/>
    <w:rsid w:val="002035D6"/>
    <w:rsid w:val="00224CA3"/>
    <w:rsid w:val="00232A16"/>
    <w:rsid w:val="00235644"/>
    <w:rsid w:val="0025088D"/>
    <w:rsid w:val="002512B2"/>
    <w:rsid w:val="00263608"/>
    <w:rsid w:val="0026669F"/>
    <w:rsid w:val="0028373C"/>
    <w:rsid w:val="002A1719"/>
    <w:rsid w:val="002B2EFE"/>
    <w:rsid w:val="002C352C"/>
    <w:rsid w:val="002C3CEF"/>
    <w:rsid w:val="002E563C"/>
    <w:rsid w:val="002F40A6"/>
    <w:rsid w:val="00315F5B"/>
    <w:rsid w:val="00322B46"/>
    <w:rsid w:val="00340813"/>
    <w:rsid w:val="00357C9B"/>
    <w:rsid w:val="0036047B"/>
    <w:rsid w:val="00367D25"/>
    <w:rsid w:val="003A1730"/>
    <w:rsid w:val="003D3640"/>
    <w:rsid w:val="003E1A00"/>
    <w:rsid w:val="004114CA"/>
    <w:rsid w:val="004202A7"/>
    <w:rsid w:val="00455F5A"/>
    <w:rsid w:val="00470076"/>
    <w:rsid w:val="004955BC"/>
    <w:rsid w:val="004A657B"/>
    <w:rsid w:val="004C05FC"/>
    <w:rsid w:val="004C1291"/>
    <w:rsid w:val="004C7BD7"/>
    <w:rsid w:val="004D0DBC"/>
    <w:rsid w:val="004E0DB9"/>
    <w:rsid w:val="004E715A"/>
    <w:rsid w:val="004F2538"/>
    <w:rsid w:val="004F48E1"/>
    <w:rsid w:val="004F4925"/>
    <w:rsid w:val="00505991"/>
    <w:rsid w:val="00506257"/>
    <w:rsid w:val="00571A37"/>
    <w:rsid w:val="00576FBF"/>
    <w:rsid w:val="00584DD8"/>
    <w:rsid w:val="0058592C"/>
    <w:rsid w:val="005B591F"/>
    <w:rsid w:val="005C1289"/>
    <w:rsid w:val="005C4101"/>
    <w:rsid w:val="005D1F3B"/>
    <w:rsid w:val="005D5537"/>
    <w:rsid w:val="00612C37"/>
    <w:rsid w:val="00612F3F"/>
    <w:rsid w:val="006200BA"/>
    <w:rsid w:val="00621AEF"/>
    <w:rsid w:val="00623851"/>
    <w:rsid w:val="00624D04"/>
    <w:rsid w:val="00634C63"/>
    <w:rsid w:val="006445ED"/>
    <w:rsid w:val="00644844"/>
    <w:rsid w:val="00645E89"/>
    <w:rsid w:val="00647168"/>
    <w:rsid w:val="006D3061"/>
    <w:rsid w:val="006E6CEB"/>
    <w:rsid w:val="006F0373"/>
    <w:rsid w:val="00703B13"/>
    <w:rsid w:val="00726806"/>
    <w:rsid w:val="00737BE9"/>
    <w:rsid w:val="00737DE4"/>
    <w:rsid w:val="007445D1"/>
    <w:rsid w:val="00777CA6"/>
    <w:rsid w:val="007928D0"/>
    <w:rsid w:val="007A7E39"/>
    <w:rsid w:val="007C09C5"/>
    <w:rsid w:val="007D596E"/>
    <w:rsid w:val="007F4AA7"/>
    <w:rsid w:val="008246E8"/>
    <w:rsid w:val="00832861"/>
    <w:rsid w:val="00843578"/>
    <w:rsid w:val="008632F8"/>
    <w:rsid w:val="00864F2C"/>
    <w:rsid w:val="008723B4"/>
    <w:rsid w:val="00884624"/>
    <w:rsid w:val="008A6BC7"/>
    <w:rsid w:val="008B1F3E"/>
    <w:rsid w:val="008B21DE"/>
    <w:rsid w:val="00920102"/>
    <w:rsid w:val="00942135"/>
    <w:rsid w:val="00956758"/>
    <w:rsid w:val="00966C6E"/>
    <w:rsid w:val="00970EB4"/>
    <w:rsid w:val="0098303E"/>
    <w:rsid w:val="00983C00"/>
    <w:rsid w:val="0098592C"/>
    <w:rsid w:val="00992E71"/>
    <w:rsid w:val="009A438A"/>
    <w:rsid w:val="009B0603"/>
    <w:rsid w:val="009E32B4"/>
    <w:rsid w:val="009F20A2"/>
    <w:rsid w:val="009F2220"/>
    <w:rsid w:val="00A348E8"/>
    <w:rsid w:val="00A45123"/>
    <w:rsid w:val="00A458E7"/>
    <w:rsid w:val="00A46907"/>
    <w:rsid w:val="00A67EF2"/>
    <w:rsid w:val="00A83981"/>
    <w:rsid w:val="00A94135"/>
    <w:rsid w:val="00A966DE"/>
    <w:rsid w:val="00AC1F76"/>
    <w:rsid w:val="00AC2CDB"/>
    <w:rsid w:val="00AD2622"/>
    <w:rsid w:val="00AE13A9"/>
    <w:rsid w:val="00B035BA"/>
    <w:rsid w:val="00B03877"/>
    <w:rsid w:val="00B07D3E"/>
    <w:rsid w:val="00B25961"/>
    <w:rsid w:val="00B33E88"/>
    <w:rsid w:val="00B5271F"/>
    <w:rsid w:val="00B57371"/>
    <w:rsid w:val="00B66859"/>
    <w:rsid w:val="00B75FDB"/>
    <w:rsid w:val="00B76090"/>
    <w:rsid w:val="00B9240E"/>
    <w:rsid w:val="00BA19C9"/>
    <w:rsid w:val="00BC764A"/>
    <w:rsid w:val="00BD1C53"/>
    <w:rsid w:val="00BF5DD8"/>
    <w:rsid w:val="00C21B07"/>
    <w:rsid w:val="00C34252"/>
    <w:rsid w:val="00C4304F"/>
    <w:rsid w:val="00C47EF5"/>
    <w:rsid w:val="00C51BFB"/>
    <w:rsid w:val="00C63303"/>
    <w:rsid w:val="00C71122"/>
    <w:rsid w:val="00C80C0E"/>
    <w:rsid w:val="00CA0FD8"/>
    <w:rsid w:val="00CA2405"/>
    <w:rsid w:val="00CA7589"/>
    <w:rsid w:val="00CB1D4A"/>
    <w:rsid w:val="00CB7177"/>
    <w:rsid w:val="00CC344E"/>
    <w:rsid w:val="00CD12AD"/>
    <w:rsid w:val="00CD39C4"/>
    <w:rsid w:val="00CF50AE"/>
    <w:rsid w:val="00D112B3"/>
    <w:rsid w:val="00D14333"/>
    <w:rsid w:val="00D2263A"/>
    <w:rsid w:val="00D346A4"/>
    <w:rsid w:val="00D517A0"/>
    <w:rsid w:val="00D7642D"/>
    <w:rsid w:val="00D82242"/>
    <w:rsid w:val="00D917A8"/>
    <w:rsid w:val="00D93C78"/>
    <w:rsid w:val="00DA1F2A"/>
    <w:rsid w:val="00DA3535"/>
    <w:rsid w:val="00DA55FD"/>
    <w:rsid w:val="00DB0344"/>
    <w:rsid w:val="00DB4D51"/>
    <w:rsid w:val="00DE45E3"/>
    <w:rsid w:val="00DE6F77"/>
    <w:rsid w:val="00DF1222"/>
    <w:rsid w:val="00E00397"/>
    <w:rsid w:val="00E126F5"/>
    <w:rsid w:val="00E16A40"/>
    <w:rsid w:val="00E26845"/>
    <w:rsid w:val="00E26F4B"/>
    <w:rsid w:val="00E3784F"/>
    <w:rsid w:val="00E611C4"/>
    <w:rsid w:val="00E860C5"/>
    <w:rsid w:val="00E87B68"/>
    <w:rsid w:val="00E97643"/>
    <w:rsid w:val="00EA1CB1"/>
    <w:rsid w:val="00EB1D63"/>
    <w:rsid w:val="00EB284F"/>
    <w:rsid w:val="00EE7736"/>
    <w:rsid w:val="00F10DB4"/>
    <w:rsid w:val="00F15B99"/>
    <w:rsid w:val="00F364FD"/>
    <w:rsid w:val="00F5726E"/>
    <w:rsid w:val="00F65755"/>
    <w:rsid w:val="00F80295"/>
    <w:rsid w:val="00FA18CC"/>
    <w:rsid w:val="00FA5106"/>
    <w:rsid w:val="00FB12F7"/>
    <w:rsid w:val="00FB746F"/>
    <w:rsid w:val="00FC3840"/>
    <w:rsid w:val="00FC56B0"/>
    <w:rsid w:val="00FD1C14"/>
    <w:rsid w:val="00FD31DC"/>
    <w:rsid w:val="00FD7723"/>
    <w:rsid w:val="00FD7E2B"/>
    <w:rsid w:val="00FE7EC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ACA29F"/>
  <w15:chartTrackingRefBased/>
  <w15:docId w15:val="{68684325-DB78-4A45-B950-6E7861E23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32"/>
      <w:lang w:val="fr-FR" w:eastAsia="fr-FR"/>
    </w:rPr>
  </w:style>
  <w:style w:type="paragraph" w:styleId="Titre1">
    <w:name w:val="heading 1"/>
    <w:basedOn w:val="Normal"/>
    <w:next w:val="Normal"/>
    <w:qFormat/>
    <w:pPr>
      <w:keepNext/>
      <w:ind w:firstLine="2268"/>
      <w:jc w:val="both"/>
      <w:outlineLvl w:val="0"/>
    </w:pPr>
    <w:rPr>
      <w:rFonts w:ascii="Cooper Black" w:hAnsi="Cooper Black"/>
      <w:b/>
      <w:caps/>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pPr>
      <w:framePr w:w="7938" w:h="1985" w:hRule="exact" w:hSpace="141" w:wrap="auto" w:hAnchor="page" w:xAlign="center" w:yAlign="bottom"/>
      <w:ind w:left="2835"/>
    </w:pPr>
    <w:rPr>
      <w:rFonts w:ascii="Univers Condensed" w:hAnsi="Univers Condensed"/>
      <w:spacing w:val="8"/>
      <w:sz w:val="36"/>
    </w:rPr>
  </w:style>
  <w:style w:type="paragraph" w:styleId="Adresseexpditeur">
    <w:name w:val="envelope return"/>
    <w:basedOn w:val="Normal"/>
    <w:rPr>
      <w:rFonts w:ascii="Abadi MT Condensed Light" w:hAnsi="Abadi MT Condensed Light"/>
      <w:b/>
      <w:spacing w:val="20"/>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3">
    <w:name w:val="p3"/>
    <w:basedOn w:val="Normal"/>
    <w:pPr>
      <w:tabs>
        <w:tab w:val="left" w:pos="720"/>
      </w:tabs>
      <w:spacing w:line="240" w:lineRule="atLeast"/>
    </w:pPr>
    <w:rPr>
      <w:rFonts w:ascii="Times New Roman" w:hAnsi="Times New Roman"/>
      <w:sz w:val="24"/>
    </w:rPr>
  </w:style>
  <w:style w:type="paragraph" w:customStyle="1" w:styleId="t1">
    <w:name w:val="t1"/>
    <w:basedOn w:val="Normal"/>
    <w:pPr>
      <w:spacing w:line="240" w:lineRule="atLeast"/>
    </w:pPr>
    <w:rPr>
      <w:rFonts w:ascii="Times New Roman" w:hAnsi="Times New Roman"/>
      <w:sz w:val="24"/>
    </w:rPr>
  </w:style>
  <w:style w:type="paragraph" w:customStyle="1" w:styleId="t2">
    <w:name w:val="t2"/>
    <w:basedOn w:val="Normal"/>
    <w:pPr>
      <w:spacing w:line="240" w:lineRule="atLeast"/>
    </w:pPr>
    <w:rPr>
      <w:rFonts w:ascii="Times New Roman" w:hAnsi="Times New Roman"/>
      <w:sz w:val="24"/>
    </w:rPr>
  </w:style>
  <w:style w:type="paragraph" w:customStyle="1" w:styleId="p4">
    <w:name w:val="p4"/>
    <w:basedOn w:val="Normal"/>
    <w:pPr>
      <w:tabs>
        <w:tab w:val="left" w:pos="720"/>
      </w:tabs>
      <w:spacing w:line="220" w:lineRule="atLeast"/>
    </w:pPr>
    <w:rPr>
      <w:rFonts w:ascii="Times New Roman" w:hAnsi="Times New Roman"/>
      <w:sz w:val="24"/>
    </w:rPr>
  </w:style>
  <w:style w:type="paragraph" w:customStyle="1" w:styleId="t6">
    <w:name w:val="t6"/>
    <w:basedOn w:val="Normal"/>
    <w:pPr>
      <w:spacing w:line="240" w:lineRule="atLeast"/>
    </w:pPr>
    <w:rPr>
      <w:rFonts w:ascii="Times New Roman" w:hAnsi="Times New Roman"/>
      <w:sz w:val="24"/>
    </w:rPr>
  </w:style>
  <w:style w:type="paragraph" w:customStyle="1" w:styleId="p2">
    <w:name w:val="p2"/>
    <w:basedOn w:val="Normal"/>
    <w:pPr>
      <w:tabs>
        <w:tab w:val="left" w:pos="720"/>
      </w:tabs>
      <w:spacing w:line="240" w:lineRule="atLeast"/>
    </w:pPr>
    <w:rPr>
      <w:rFonts w:ascii="Times New Roman" w:hAnsi="Times New Roman"/>
      <w:sz w:val="24"/>
    </w:rPr>
  </w:style>
  <w:style w:type="paragraph" w:customStyle="1" w:styleId="c2">
    <w:name w:val="c2"/>
    <w:basedOn w:val="Normal"/>
    <w:pPr>
      <w:spacing w:line="240" w:lineRule="atLeast"/>
      <w:jc w:val="center"/>
    </w:pPr>
    <w:rPr>
      <w:rFonts w:ascii="Times New Roman" w:hAnsi="Times New Roman"/>
      <w:sz w:val="24"/>
    </w:rPr>
  </w:style>
  <w:style w:type="paragraph" w:customStyle="1" w:styleId="p1">
    <w:name w:val="p1"/>
    <w:basedOn w:val="Normal"/>
    <w:pPr>
      <w:tabs>
        <w:tab w:val="left" w:pos="720"/>
      </w:tabs>
      <w:spacing w:line="240" w:lineRule="atLeast"/>
    </w:pPr>
    <w:rPr>
      <w:rFonts w:ascii="Times New Roman" w:hAnsi="Times New Roman"/>
      <w:sz w:val="24"/>
    </w:rPr>
  </w:style>
  <w:style w:type="paragraph" w:customStyle="1" w:styleId="p5">
    <w:name w:val="p5"/>
    <w:basedOn w:val="Normal"/>
    <w:pPr>
      <w:tabs>
        <w:tab w:val="left" w:pos="720"/>
      </w:tabs>
      <w:spacing w:line="220" w:lineRule="atLeast"/>
    </w:pPr>
    <w:rPr>
      <w:rFonts w:ascii="Times New Roman" w:hAnsi="Times New Roman"/>
      <w:sz w:val="24"/>
    </w:rPr>
  </w:style>
  <w:style w:type="paragraph" w:customStyle="1" w:styleId="t5">
    <w:name w:val="t5"/>
    <w:basedOn w:val="Normal"/>
    <w:pPr>
      <w:spacing w:line="240" w:lineRule="atLeast"/>
    </w:pPr>
    <w:rPr>
      <w:rFonts w:ascii="Times New Roman" w:hAnsi="Times New Roman"/>
      <w:sz w:val="24"/>
    </w:rPr>
  </w:style>
  <w:style w:type="paragraph" w:customStyle="1" w:styleId="p6">
    <w:name w:val="p6"/>
    <w:basedOn w:val="Normal"/>
    <w:pPr>
      <w:tabs>
        <w:tab w:val="left" w:pos="720"/>
      </w:tabs>
      <w:spacing w:line="220" w:lineRule="atLeast"/>
    </w:pPr>
    <w:rPr>
      <w:rFonts w:ascii="Times New Roman" w:hAnsi="Times New Roman"/>
      <w:sz w:val="24"/>
    </w:rPr>
  </w:style>
  <w:style w:type="paragraph" w:customStyle="1" w:styleId="p8">
    <w:name w:val="p8"/>
    <w:basedOn w:val="Normal"/>
    <w:pPr>
      <w:tabs>
        <w:tab w:val="left" w:pos="4760"/>
      </w:tabs>
      <w:spacing w:line="240" w:lineRule="atLeast"/>
      <w:ind w:left="3312" w:hanging="4752"/>
    </w:pPr>
    <w:rPr>
      <w:rFonts w:ascii="Times New Roman" w:hAnsi="Times New Roman"/>
      <w:sz w:val="24"/>
    </w:rPr>
  </w:style>
  <w:style w:type="paragraph" w:customStyle="1" w:styleId="t9">
    <w:name w:val="t9"/>
    <w:basedOn w:val="Normal"/>
    <w:pPr>
      <w:spacing w:line="240" w:lineRule="atLeast"/>
    </w:pPr>
    <w:rPr>
      <w:rFonts w:ascii="Times New Roman" w:hAnsi="Times New Roman"/>
      <w:sz w:val="24"/>
    </w:rPr>
  </w:style>
  <w:style w:type="paragraph" w:customStyle="1" w:styleId="t3">
    <w:name w:val="t3"/>
    <w:basedOn w:val="Normal"/>
    <w:pPr>
      <w:spacing w:line="240" w:lineRule="atLeast"/>
    </w:pPr>
    <w:rPr>
      <w:rFonts w:ascii="Times New Roman" w:hAnsi="Times New Roman"/>
      <w:sz w:val="24"/>
    </w:rPr>
  </w:style>
  <w:style w:type="paragraph" w:customStyle="1" w:styleId="Texte">
    <w:name w:val="Texte"/>
    <w:pPr>
      <w:overflowPunct w:val="0"/>
      <w:autoSpaceDE w:val="0"/>
      <w:autoSpaceDN w:val="0"/>
      <w:adjustRightInd w:val="0"/>
      <w:textAlignment w:val="baseline"/>
    </w:pPr>
    <w:rPr>
      <w:color w:val="000000"/>
      <w:sz w:val="24"/>
      <w:lang w:val="fr-FR" w:eastAsia="fr-FR"/>
    </w:rPr>
  </w:style>
  <w:style w:type="character" w:styleId="Numrodepage">
    <w:name w:val="page number"/>
    <w:basedOn w:val="Policepardfaut"/>
  </w:style>
  <w:style w:type="paragraph" w:styleId="Textedebulles">
    <w:name w:val="Balloon Text"/>
    <w:basedOn w:val="Normal"/>
    <w:semiHidden/>
    <w:rsid w:val="00BA19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58733">
      <w:bodyDiv w:val="1"/>
      <w:marLeft w:val="0"/>
      <w:marRight w:val="0"/>
      <w:marTop w:val="0"/>
      <w:marBottom w:val="0"/>
      <w:divBdr>
        <w:top w:val="none" w:sz="0" w:space="0" w:color="auto"/>
        <w:left w:val="none" w:sz="0" w:space="0" w:color="auto"/>
        <w:bottom w:val="none" w:sz="0" w:space="0" w:color="auto"/>
        <w:right w:val="none" w:sz="0" w:space="0" w:color="auto"/>
      </w:divBdr>
    </w:div>
    <w:div w:id="438262261">
      <w:bodyDiv w:val="1"/>
      <w:marLeft w:val="0"/>
      <w:marRight w:val="0"/>
      <w:marTop w:val="0"/>
      <w:marBottom w:val="0"/>
      <w:divBdr>
        <w:top w:val="none" w:sz="0" w:space="0" w:color="auto"/>
        <w:left w:val="none" w:sz="0" w:space="0" w:color="auto"/>
        <w:bottom w:val="none" w:sz="0" w:space="0" w:color="auto"/>
        <w:right w:val="none" w:sz="0" w:space="0" w:color="auto"/>
      </w:divBdr>
    </w:div>
    <w:div w:id="990717771">
      <w:bodyDiv w:val="1"/>
      <w:marLeft w:val="0"/>
      <w:marRight w:val="0"/>
      <w:marTop w:val="0"/>
      <w:marBottom w:val="0"/>
      <w:divBdr>
        <w:top w:val="none" w:sz="0" w:space="0" w:color="auto"/>
        <w:left w:val="none" w:sz="0" w:space="0" w:color="auto"/>
        <w:bottom w:val="none" w:sz="0" w:space="0" w:color="auto"/>
        <w:right w:val="none" w:sz="0" w:space="0" w:color="auto"/>
      </w:divBdr>
    </w:div>
    <w:div w:id="181976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ia\Documents\Mod&#232;les%20Office%20personnalis&#233;s\2.%20Liturg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Liturgie.dotx</Template>
  <TotalTime>4</TotalTime>
  <Pages>3</Pages>
  <Words>307</Words>
  <Characters>1689</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Préparez le chemin du Seigneur</vt:lpstr>
    </vt:vector>
  </TitlesOfParts>
  <Company> </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Préparez le chemin du Seigneur</dc:title>
  <dc:subject/>
  <dc:creator>Bernard Schubiger</dc:creator>
  <cp:keywords/>
  <dc:description/>
  <cp:lastModifiedBy>Bernard Schubiger</cp:lastModifiedBy>
  <cp:revision>1</cp:revision>
  <cp:lastPrinted>2011-04-02T13:19:00Z</cp:lastPrinted>
  <dcterms:created xsi:type="dcterms:W3CDTF">2021-08-10T10:22:00Z</dcterms:created>
  <dcterms:modified xsi:type="dcterms:W3CDTF">2021-08-10T10:58:00Z</dcterms:modified>
</cp:coreProperties>
</file>